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F9" w:rsidRDefault="00332FF9" w:rsidP="00A401F4"/>
    <w:p w:rsidR="00332FF9" w:rsidRDefault="00332FF9" w:rsidP="00A401F4">
      <w:pPr>
        <w:jc w:val="right"/>
        <w:sectPr w:rsidR="00332FF9" w:rsidSect="003368F0">
          <w:footerReference w:type="default" r:id="rId8"/>
          <w:pgSz w:w="12240" w:h="15840"/>
          <w:pgMar w:top="720" w:right="1296" w:bottom="1296" w:left="1296" w:header="720" w:footer="720" w:gutter="0"/>
          <w:cols w:num="2" w:space="720" w:equalWidth="0">
            <w:col w:w="1764" w:space="180"/>
            <w:col w:w="7704"/>
          </w:cols>
          <w:docGrid w:linePitch="360"/>
        </w:sectPr>
      </w:pPr>
    </w:p>
    <w:p w:rsidR="00332FF9" w:rsidRDefault="008B6718" w:rsidP="00A401F4">
      <w:pPr>
        <w:jc w:val="right"/>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332FF9" w:rsidRPr="003368F0">
        <w:t xml:space="preserve"> </w:t>
      </w:r>
    </w:p>
    <w:p w:rsidR="00332FF9" w:rsidRPr="008748B9" w:rsidRDefault="00332FF9" w:rsidP="00A401F4">
      <w:pPr>
        <w:rPr>
          <w:rFonts w:ascii="Arial" w:hAnsi="Arial" w:cs="Arial"/>
        </w:rPr>
      </w:pPr>
    </w:p>
    <w:p w:rsidR="00332FF9" w:rsidRPr="008748B9" w:rsidRDefault="00332FF9" w:rsidP="00A401F4">
      <w:pPr>
        <w:jc w:val="center"/>
        <w:rPr>
          <w:rFonts w:ascii="Arial" w:hAnsi="Arial" w:cs="Arial"/>
          <w:b/>
          <w:i/>
          <w:sz w:val="28"/>
          <w:szCs w:val="28"/>
        </w:rPr>
      </w:pPr>
    </w:p>
    <w:p w:rsidR="00332FF9" w:rsidRPr="008748B9" w:rsidRDefault="00332FF9" w:rsidP="00A401F4">
      <w:pPr>
        <w:jc w:val="center"/>
        <w:rPr>
          <w:rFonts w:ascii="Arial" w:hAnsi="Arial" w:cs="Arial"/>
          <w:b/>
          <w:i/>
          <w:sz w:val="28"/>
          <w:szCs w:val="28"/>
        </w:rPr>
      </w:pPr>
      <w:r w:rsidRPr="008748B9">
        <w:rPr>
          <w:rFonts w:ascii="Arial" w:hAnsi="Arial" w:cs="Arial"/>
          <w:b/>
          <w:i/>
          <w:sz w:val="28"/>
          <w:szCs w:val="28"/>
        </w:rPr>
        <w:t>LEGISLATIVE UPDATE</w:t>
      </w:r>
    </w:p>
    <w:p w:rsidR="00332FF9" w:rsidRPr="008748B9" w:rsidRDefault="00332FF9" w:rsidP="00A401F4">
      <w:pPr>
        <w:jc w:val="center"/>
        <w:rPr>
          <w:rFonts w:ascii="Arial" w:hAnsi="Arial" w:cs="Arial"/>
          <w:b/>
          <w:sz w:val="28"/>
          <w:szCs w:val="28"/>
        </w:rPr>
      </w:pPr>
    </w:p>
    <w:p w:rsidR="00332FF9" w:rsidRPr="008748B9" w:rsidRDefault="009C1CA8" w:rsidP="00A401F4">
      <w:pPr>
        <w:jc w:val="center"/>
        <w:rPr>
          <w:rFonts w:ascii="Arial" w:hAnsi="Arial" w:cs="Arial"/>
          <w:b/>
          <w:sz w:val="28"/>
          <w:szCs w:val="28"/>
        </w:rPr>
      </w:pPr>
      <w:r>
        <w:rPr>
          <w:rFonts w:ascii="Arial" w:hAnsi="Arial" w:cs="Arial"/>
          <w:b/>
          <w:sz w:val="28"/>
          <w:szCs w:val="28"/>
        </w:rPr>
        <w:t>Week 12</w:t>
      </w:r>
    </w:p>
    <w:p w:rsidR="00332FF9" w:rsidRPr="008748B9" w:rsidRDefault="00332FF9" w:rsidP="00A401F4">
      <w:pPr>
        <w:jc w:val="center"/>
        <w:rPr>
          <w:rFonts w:ascii="Arial" w:hAnsi="Arial" w:cs="Arial"/>
        </w:rPr>
      </w:pPr>
      <w:r w:rsidRPr="008748B9">
        <w:rPr>
          <w:rFonts w:ascii="Arial" w:hAnsi="Arial" w:cs="Arial"/>
        </w:rPr>
        <w:t>____________________________________________</w:t>
      </w:r>
    </w:p>
    <w:p w:rsidR="00332FF9" w:rsidRPr="008748B9" w:rsidRDefault="00332FF9" w:rsidP="00A401F4">
      <w:pPr>
        <w:rPr>
          <w:rFonts w:ascii="Arial" w:hAnsi="Arial" w:cs="Arial"/>
        </w:rPr>
      </w:pPr>
    </w:p>
    <w:p w:rsidR="00332FF9" w:rsidRDefault="00332FF9" w:rsidP="00A401F4">
      <w:pPr>
        <w:rPr>
          <w:rFonts w:ascii="Arial" w:hAnsi="Arial" w:cs="Arial"/>
        </w:rPr>
      </w:pPr>
      <w:bookmarkStart w:id="0" w:name="_GoBack"/>
    </w:p>
    <w:bookmarkEnd w:id="0"/>
    <w:p w:rsidR="009C1CA8" w:rsidRDefault="009C1CA8" w:rsidP="00EE21DD">
      <w:pPr>
        <w:jc w:val="center"/>
        <w:rPr>
          <w:rFonts w:ascii="Arial" w:hAnsi="Arial" w:cs="Arial"/>
        </w:rPr>
      </w:pPr>
      <w:r>
        <w:rPr>
          <w:rFonts w:ascii="Arial" w:hAnsi="Arial" w:cs="Arial"/>
          <w:b/>
        </w:rPr>
        <w:t>Second Funnel Concludes</w:t>
      </w:r>
    </w:p>
    <w:p w:rsidR="009C1CA8" w:rsidRDefault="009C1CA8" w:rsidP="009C1CA8">
      <w:pPr>
        <w:rPr>
          <w:rFonts w:ascii="Arial" w:hAnsi="Arial" w:cs="Arial"/>
        </w:rPr>
      </w:pPr>
    </w:p>
    <w:p w:rsidR="009C1CA8" w:rsidRDefault="009C1CA8" w:rsidP="009C1CA8">
      <w:pPr>
        <w:rPr>
          <w:rFonts w:ascii="Arial" w:hAnsi="Arial" w:cs="Arial"/>
        </w:rPr>
      </w:pPr>
      <w:r>
        <w:rPr>
          <w:rFonts w:ascii="Arial" w:hAnsi="Arial" w:cs="Arial"/>
        </w:rPr>
        <w:t>Friday, March 31</w:t>
      </w:r>
      <w:r w:rsidRPr="009C1CA8">
        <w:rPr>
          <w:rFonts w:ascii="Arial" w:hAnsi="Arial" w:cs="Arial"/>
          <w:vertAlign w:val="superscript"/>
        </w:rPr>
        <w:t>st</w:t>
      </w:r>
      <w:r>
        <w:rPr>
          <w:rFonts w:ascii="Arial" w:hAnsi="Arial" w:cs="Arial"/>
        </w:rPr>
        <w:t xml:space="preserve"> marked the end of the second legislative funnel.  In order to remain eligible for consideration, must policy bill must have cleared their chamber of origin and the committee of the opposite chamber.  Tax and spending legislation, as well as a handful of identified bills, are exempt from this deadline.  </w:t>
      </w:r>
    </w:p>
    <w:p w:rsidR="009C1CA8" w:rsidRDefault="009C1CA8" w:rsidP="009C1CA8">
      <w:pPr>
        <w:rPr>
          <w:rFonts w:ascii="Arial" w:hAnsi="Arial" w:cs="Arial"/>
        </w:rPr>
      </w:pPr>
    </w:p>
    <w:p w:rsidR="009C1CA8" w:rsidRPr="009C1CA8" w:rsidRDefault="009C1CA8" w:rsidP="009C1CA8">
      <w:pPr>
        <w:rPr>
          <w:rFonts w:ascii="Arial" w:hAnsi="Arial" w:cs="Arial"/>
        </w:rPr>
      </w:pPr>
      <w:r>
        <w:rPr>
          <w:rFonts w:ascii="Arial" w:hAnsi="Arial" w:cs="Arial"/>
        </w:rPr>
        <w:t>In the first year of the biennium, the legislature normally meets for approximately 100 days. This year, the General Assembly shortened the session to 100 days – meaning their per diem payments run out on April 18</w:t>
      </w:r>
      <w:r w:rsidRPr="009C1CA8">
        <w:rPr>
          <w:rFonts w:ascii="Arial" w:hAnsi="Arial" w:cs="Arial"/>
          <w:vertAlign w:val="superscript"/>
        </w:rPr>
        <w:t>th</w:t>
      </w:r>
      <w:r>
        <w:rPr>
          <w:rFonts w:ascii="Arial" w:hAnsi="Arial" w:cs="Arial"/>
        </w:rPr>
        <w:t>.  While the session may continue past that date, lawmakers will not be paid any additional sums for their activity or expenses.</w:t>
      </w:r>
    </w:p>
    <w:p w:rsidR="009C1CA8" w:rsidRDefault="009C1CA8" w:rsidP="00EE21DD">
      <w:pPr>
        <w:jc w:val="center"/>
        <w:rPr>
          <w:rFonts w:ascii="Arial" w:hAnsi="Arial" w:cs="Arial"/>
          <w:b/>
        </w:rPr>
      </w:pPr>
    </w:p>
    <w:p w:rsidR="00127DDA" w:rsidRDefault="003F7D20" w:rsidP="00EE21DD">
      <w:pPr>
        <w:jc w:val="center"/>
        <w:rPr>
          <w:rFonts w:ascii="Arial" w:hAnsi="Arial" w:cs="Arial"/>
        </w:rPr>
      </w:pPr>
      <w:r>
        <w:rPr>
          <w:rFonts w:ascii="Arial" w:hAnsi="Arial" w:cs="Arial"/>
          <w:b/>
        </w:rPr>
        <w:t>Governor Signs Several Bills in to Law</w:t>
      </w:r>
    </w:p>
    <w:p w:rsidR="003F7D20" w:rsidRDefault="003F7D20" w:rsidP="003F7D20">
      <w:pPr>
        <w:rPr>
          <w:rFonts w:ascii="Arial" w:hAnsi="Arial" w:cs="Arial"/>
        </w:rPr>
      </w:pPr>
    </w:p>
    <w:p w:rsidR="003F7D20" w:rsidRDefault="003F7D20" w:rsidP="003F7D20">
      <w:pPr>
        <w:rPr>
          <w:rFonts w:ascii="Arial" w:hAnsi="Arial" w:cs="Arial"/>
        </w:rPr>
      </w:pPr>
      <w:r>
        <w:rPr>
          <w:rFonts w:ascii="Arial" w:hAnsi="Arial" w:cs="Arial"/>
        </w:rPr>
        <w:t xml:space="preserve">Last week, the Governor signed nearly a dozen new </w:t>
      </w:r>
      <w:r w:rsidR="00264841">
        <w:rPr>
          <w:rFonts w:ascii="Arial" w:hAnsi="Arial" w:cs="Arial"/>
        </w:rPr>
        <w:t>bills in to law.  Major bills</w:t>
      </w:r>
      <w:r w:rsidR="007B6757">
        <w:rPr>
          <w:rFonts w:ascii="Arial" w:hAnsi="Arial" w:cs="Arial"/>
        </w:rPr>
        <w:t xml:space="preserve"> include:</w:t>
      </w:r>
    </w:p>
    <w:p w:rsidR="007B6757" w:rsidRDefault="007B6757" w:rsidP="003F7D20">
      <w:pPr>
        <w:rPr>
          <w:rFonts w:ascii="Arial" w:hAnsi="Arial" w:cs="Arial"/>
        </w:rPr>
      </w:pPr>
    </w:p>
    <w:p w:rsidR="007B6757" w:rsidRPr="007B6757" w:rsidRDefault="007B6757" w:rsidP="007B6757">
      <w:pPr>
        <w:rPr>
          <w:rFonts w:ascii="Arial" w:hAnsi="Arial" w:cs="Arial"/>
        </w:rPr>
      </w:pPr>
      <w:r w:rsidRPr="007B6757">
        <w:rPr>
          <w:rFonts w:ascii="Arial" w:hAnsi="Arial" w:cs="Arial"/>
        </w:rPr>
        <w:t> </w:t>
      </w:r>
    </w:p>
    <w:p w:rsidR="007B6757" w:rsidRPr="005B1749" w:rsidRDefault="007B6757" w:rsidP="007B6757">
      <w:pPr>
        <w:rPr>
          <w:rFonts w:ascii="Arial" w:hAnsi="Arial" w:cs="Arial"/>
          <w:u w:val="single"/>
        </w:rPr>
      </w:pPr>
      <w:hyperlink r:id="rId10" w:tgtFrame="_blank" w:history="1">
        <w:r>
          <w:rPr>
            <w:rStyle w:val="Hyperlink"/>
            <w:rFonts w:ascii="Arial" w:hAnsi="Arial" w:cs="Arial"/>
          </w:rPr>
          <w:t>HF</w:t>
        </w:r>
        <w:r w:rsidRPr="007B6757">
          <w:rPr>
            <w:rStyle w:val="Hyperlink"/>
            <w:rFonts w:ascii="Arial" w:hAnsi="Arial" w:cs="Arial"/>
          </w:rPr>
          <w:t xml:space="preserve"> 295</w:t>
        </w:r>
      </w:hyperlink>
      <w:r>
        <w:rPr>
          <w:rFonts w:ascii="Arial" w:hAnsi="Arial" w:cs="Arial"/>
        </w:rPr>
        <w:t xml:space="preserve"> – </w:t>
      </w:r>
      <w:r w:rsidRPr="005B1749">
        <w:rPr>
          <w:rFonts w:ascii="Arial" w:hAnsi="Arial" w:cs="Arial"/>
          <w:u w:val="single"/>
        </w:rPr>
        <w:t>Minimum Wage and Local Government Preemption</w:t>
      </w:r>
    </w:p>
    <w:p w:rsidR="007B6757" w:rsidRPr="007B6757" w:rsidRDefault="007B6757" w:rsidP="007B6757">
      <w:pPr>
        <w:rPr>
          <w:rFonts w:ascii="Arial" w:hAnsi="Arial" w:cs="Arial"/>
        </w:rPr>
      </w:pPr>
      <w:r>
        <w:rPr>
          <w:rFonts w:ascii="Arial" w:hAnsi="Arial" w:cs="Arial"/>
        </w:rPr>
        <w:t>HF 295 prohibits</w:t>
      </w:r>
      <w:r w:rsidRPr="007B6757">
        <w:rPr>
          <w:rFonts w:ascii="Arial" w:hAnsi="Arial" w:cs="Arial"/>
        </w:rPr>
        <w:t xml:space="preserve"> counties and cities from establishing certain regulations relating to employment matters and the sale or marketing of consu</w:t>
      </w:r>
      <w:r w:rsidR="005B1749">
        <w:rPr>
          <w:rFonts w:ascii="Arial" w:hAnsi="Arial" w:cs="Arial"/>
        </w:rPr>
        <w:t>mer merchandise</w:t>
      </w:r>
      <w:r w:rsidRPr="007B6757">
        <w:rPr>
          <w:rFonts w:ascii="Arial" w:hAnsi="Arial" w:cs="Arial"/>
        </w:rPr>
        <w:t>.</w:t>
      </w:r>
    </w:p>
    <w:p w:rsidR="007B6757" w:rsidRDefault="007B6757" w:rsidP="003F7D20">
      <w:pPr>
        <w:rPr>
          <w:rFonts w:ascii="Arial" w:hAnsi="Arial" w:cs="Arial"/>
        </w:rPr>
      </w:pPr>
    </w:p>
    <w:p w:rsidR="005B1749" w:rsidRDefault="007B6757" w:rsidP="003F7D20">
      <w:pPr>
        <w:rPr>
          <w:rFonts w:ascii="Arial" w:hAnsi="Arial" w:cs="Arial"/>
        </w:rPr>
      </w:pPr>
      <w:hyperlink r:id="rId11" w:tgtFrame="_blank" w:history="1">
        <w:r w:rsidR="005B1749">
          <w:rPr>
            <w:rStyle w:val="Hyperlink"/>
            <w:rFonts w:ascii="Arial" w:hAnsi="Arial" w:cs="Arial"/>
          </w:rPr>
          <w:t>HF</w:t>
        </w:r>
        <w:r w:rsidRPr="007B6757">
          <w:rPr>
            <w:rStyle w:val="Hyperlink"/>
            <w:rFonts w:ascii="Arial" w:hAnsi="Arial" w:cs="Arial"/>
          </w:rPr>
          <w:t xml:space="preserve"> 518</w:t>
        </w:r>
      </w:hyperlink>
      <w:r w:rsidR="005B1749">
        <w:rPr>
          <w:rFonts w:ascii="Arial" w:hAnsi="Arial" w:cs="Arial"/>
        </w:rPr>
        <w:t xml:space="preserve"> – </w:t>
      </w:r>
      <w:r w:rsidR="005B1749" w:rsidRPr="005B1749">
        <w:rPr>
          <w:rFonts w:ascii="Arial" w:hAnsi="Arial" w:cs="Arial"/>
          <w:u w:val="single"/>
        </w:rPr>
        <w:t>Workers’ Compensation Changes</w:t>
      </w:r>
    </w:p>
    <w:p w:rsidR="007B6757" w:rsidRDefault="005B1749" w:rsidP="003F7D20">
      <w:pPr>
        <w:rPr>
          <w:rFonts w:ascii="Arial" w:hAnsi="Arial" w:cs="Arial"/>
        </w:rPr>
      </w:pPr>
      <w:r>
        <w:rPr>
          <w:rFonts w:ascii="Arial" w:hAnsi="Arial" w:cs="Arial"/>
        </w:rPr>
        <w:t>HF 518 makes changes to eligibility and benefits for to workers’ compensation</w:t>
      </w:r>
      <w:r w:rsidR="007B6757" w:rsidRPr="007B6757">
        <w:rPr>
          <w:rFonts w:ascii="Arial" w:hAnsi="Arial" w:cs="Arial"/>
        </w:rPr>
        <w:t>.</w:t>
      </w:r>
    </w:p>
    <w:p w:rsidR="007B6757" w:rsidRDefault="007B6757" w:rsidP="003F7D20">
      <w:pPr>
        <w:rPr>
          <w:rFonts w:ascii="Arial" w:hAnsi="Arial" w:cs="Arial"/>
        </w:rPr>
      </w:pPr>
    </w:p>
    <w:p w:rsidR="005B1749" w:rsidRDefault="007B6757" w:rsidP="003F7D20">
      <w:pPr>
        <w:rPr>
          <w:rFonts w:ascii="Arial" w:hAnsi="Arial" w:cs="Arial"/>
        </w:rPr>
      </w:pPr>
      <w:hyperlink r:id="rId12" w:tgtFrame="_blank" w:history="1">
        <w:r w:rsidR="005B1749">
          <w:rPr>
            <w:rStyle w:val="Hyperlink"/>
            <w:rFonts w:ascii="Arial" w:hAnsi="Arial" w:cs="Arial"/>
          </w:rPr>
          <w:t xml:space="preserve">HF </w:t>
        </w:r>
        <w:r w:rsidRPr="007B6757">
          <w:rPr>
            <w:rStyle w:val="Hyperlink"/>
            <w:rFonts w:ascii="Arial" w:hAnsi="Arial" w:cs="Arial"/>
          </w:rPr>
          <w:t>215</w:t>
        </w:r>
      </w:hyperlink>
      <w:r w:rsidR="005B1749">
        <w:rPr>
          <w:rFonts w:ascii="Arial" w:hAnsi="Arial" w:cs="Arial"/>
        </w:rPr>
        <w:t xml:space="preserve"> – </w:t>
      </w:r>
      <w:r w:rsidR="005B1749" w:rsidRPr="005B1749">
        <w:rPr>
          <w:rFonts w:ascii="Arial" w:hAnsi="Arial" w:cs="Arial"/>
          <w:u w:val="single"/>
        </w:rPr>
        <w:t>Autism Spectrum Disorders Coverage</w:t>
      </w:r>
    </w:p>
    <w:p w:rsidR="007B6757" w:rsidRDefault="005B1749" w:rsidP="003F7D20">
      <w:pPr>
        <w:rPr>
          <w:rFonts w:ascii="Arial" w:hAnsi="Arial" w:cs="Arial"/>
        </w:rPr>
      </w:pPr>
      <w:r>
        <w:rPr>
          <w:rFonts w:ascii="Arial" w:hAnsi="Arial" w:cs="Arial"/>
        </w:rPr>
        <w:t>HF 215 requires</w:t>
      </w:r>
      <w:r w:rsidR="007B6757" w:rsidRPr="007B6757">
        <w:rPr>
          <w:rFonts w:ascii="Arial" w:hAnsi="Arial" w:cs="Arial"/>
        </w:rPr>
        <w:t xml:space="preserve"> certain health insurance policies, contracts, or plans to provide coverage of applied behavior analysis for treatment of autism spectrum disorder for certain individuals, and including applicability and effective date provisions. </w:t>
      </w:r>
    </w:p>
    <w:p w:rsidR="007B6757" w:rsidRDefault="007B6757" w:rsidP="003F7D20">
      <w:pPr>
        <w:rPr>
          <w:rFonts w:ascii="Arial" w:hAnsi="Arial" w:cs="Arial"/>
        </w:rPr>
      </w:pPr>
    </w:p>
    <w:p w:rsidR="005B1749" w:rsidRDefault="007B6757" w:rsidP="003F7D20">
      <w:pPr>
        <w:rPr>
          <w:rFonts w:ascii="Arial" w:hAnsi="Arial" w:cs="Arial"/>
        </w:rPr>
      </w:pPr>
      <w:hyperlink r:id="rId13" w:tgtFrame="_blank" w:history="1">
        <w:r w:rsidR="005B1749">
          <w:rPr>
            <w:rStyle w:val="Hyperlink"/>
            <w:rFonts w:ascii="Arial" w:hAnsi="Arial" w:cs="Arial"/>
          </w:rPr>
          <w:t>HF</w:t>
        </w:r>
        <w:r w:rsidRPr="007B6757">
          <w:rPr>
            <w:rStyle w:val="Hyperlink"/>
            <w:rFonts w:ascii="Arial" w:hAnsi="Arial" w:cs="Arial"/>
          </w:rPr>
          <w:t xml:space="preserve"> 531</w:t>
        </w:r>
      </w:hyperlink>
      <w:r w:rsidR="005B1749">
        <w:rPr>
          <w:rFonts w:ascii="Arial" w:hAnsi="Arial" w:cs="Arial"/>
        </w:rPr>
        <w:t xml:space="preserve"> – </w:t>
      </w:r>
      <w:r w:rsidR="005B1749" w:rsidRPr="005B1749">
        <w:rPr>
          <w:rFonts w:ascii="Arial" w:hAnsi="Arial" w:cs="Arial"/>
          <w:u w:val="single"/>
        </w:rPr>
        <w:t>Public Assistance Oversight</w:t>
      </w:r>
    </w:p>
    <w:p w:rsidR="007B6757" w:rsidRDefault="005B1749" w:rsidP="003F7D20">
      <w:pPr>
        <w:rPr>
          <w:rFonts w:ascii="Arial" w:hAnsi="Arial" w:cs="Arial"/>
        </w:rPr>
      </w:pPr>
      <w:r>
        <w:rPr>
          <w:rFonts w:ascii="Arial" w:hAnsi="Arial" w:cs="Arial"/>
        </w:rPr>
        <w:t>HF 531 provides</w:t>
      </w:r>
      <w:r w:rsidR="007B6757" w:rsidRPr="007B6757">
        <w:rPr>
          <w:rFonts w:ascii="Arial" w:hAnsi="Arial" w:cs="Arial"/>
        </w:rPr>
        <w:t xml:space="preserve"> to oversight of public ass</w:t>
      </w:r>
      <w:r>
        <w:rPr>
          <w:rFonts w:ascii="Arial" w:hAnsi="Arial" w:cs="Arial"/>
        </w:rPr>
        <w:t>istance programs.</w:t>
      </w:r>
    </w:p>
    <w:p w:rsidR="007B6757" w:rsidRDefault="007B6757" w:rsidP="003F7D20">
      <w:pPr>
        <w:rPr>
          <w:rFonts w:ascii="Arial" w:hAnsi="Arial" w:cs="Arial"/>
        </w:rPr>
      </w:pPr>
    </w:p>
    <w:p w:rsidR="005B1749" w:rsidRDefault="007B6757" w:rsidP="007B6757">
      <w:pPr>
        <w:rPr>
          <w:rFonts w:ascii="Arial" w:hAnsi="Arial" w:cs="Arial"/>
        </w:rPr>
      </w:pPr>
      <w:hyperlink r:id="rId14" w:tgtFrame="_blank" w:history="1">
        <w:r w:rsidR="005B1749">
          <w:rPr>
            <w:rStyle w:val="Hyperlink"/>
            <w:rFonts w:ascii="Arial" w:hAnsi="Arial" w:cs="Arial"/>
          </w:rPr>
          <w:t>SF</w:t>
        </w:r>
        <w:r w:rsidRPr="007B6757">
          <w:rPr>
            <w:rStyle w:val="Hyperlink"/>
            <w:rFonts w:ascii="Arial" w:hAnsi="Arial" w:cs="Arial"/>
          </w:rPr>
          <w:t xml:space="preserve"> 447</w:t>
        </w:r>
      </w:hyperlink>
      <w:r w:rsidR="005B1749">
        <w:rPr>
          <w:rFonts w:ascii="Arial" w:hAnsi="Arial" w:cs="Arial"/>
        </w:rPr>
        <w:t xml:space="preserve"> – </w:t>
      </w:r>
      <w:r w:rsidR="005B1749" w:rsidRPr="00EA1BCA">
        <w:rPr>
          <w:rFonts w:ascii="Arial" w:hAnsi="Arial" w:cs="Arial"/>
          <w:u w:val="single"/>
        </w:rPr>
        <w:t>Agricultural Nuisance Lawsuit Limits</w:t>
      </w:r>
    </w:p>
    <w:p w:rsidR="007B6757" w:rsidRPr="007B6757" w:rsidRDefault="005B1749" w:rsidP="007B6757">
      <w:pPr>
        <w:rPr>
          <w:rFonts w:ascii="Arial" w:hAnsi="Arial" w:cs="Arial"/>
        </w:rPr>
      </w:pPr>
      <w:r>
        <w:rPr>
          <w:rFonts w:ascii="Arial" w:hAnsi="Arial" w:cs="Arial"/>
        </w:rPr>
        <w:t>SF 447 places limits on</w:t>
      </w:r>
      <w:r w:rsidR="007B6757" w:rsidRPr="007B6757">
        <w:rPr>
          <w:rFonts w:ascii="Arial" w:hAnsi="Arial" w:cs="Arial"/>
        </w:rPr>
        <w:t xml:space="preserve"> certain court actions involving an allegation of a public or private nuisance or the interference with a person’s comfortable use and enjoyment of life or property caused</w:t>
      </w:r>
      <w:r>
        <w:rPr>
          <w:rFonts w:ascii="Arial" w:hAnsi="Arial" w:cs="Arial"/>
        </w:rPr>
        <w:t xml:space="preserve"> by an animal feeding operation.</w:t>
      </w:r>
      <w:r w:rsidR="007B6757" w:rsidRPr="007B6757">
        <w:rPr>
          <w:rFonts w:ascii="Arial" w:hAnsi="Arial" w:cs="Arial"/>
        </w:rPr>
        <w:t xml:space="preserve"> </w:t>
      </w:r>
    </w:p>
    <w:p w:rsidR="007B6757" w:rsidRPr="003F7D20" w:rsidRDefault="007B6757" w:rsidP="003F7D20">
      <w:pPr>
        <w:rPr>
          <w:rFonts w:ascii="Arial" w:hAnsi="Arial" w:cs="Arial"/>
        </w:rPr>
      </w:pPr>
    </w:p>
    <w:p w:rsidR="00127DDA" w:rsidRDefault="00127DDA" w:rsidP="00A401F4">
      <w:pPr>
        <w:rPr>
          <w:rFonts w:ascii="Arial" w:hAnsi="Arial" w:cs="Arial"/>
        </w:rPr>
      </w:pPr>
    </w:p>
    <w:sectPr w:rsidR="00127DDA" w:rsidSect="00BF2C77">
      <w:type w:val="continuous"/>
      <w:pgSz w:w="12240" w:h="15840"/>
      <w:pgMar w:top="720" w:right="1296" w:bottom="1296" w:left="1296"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91" w:rsidRDefault="00197191" w:rsidP="00CE421E">
      <w:r>
        <w:separator/>
      </w:r>
    </w:p>
  </w:endnote>
  <w:endnote w:type="continuationSeparator" w:id="0">
    <w:p w:rsidR="00197191" w:rsidRDefault="00197191" w:rsidP="00C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F9" w:rsidRDefault="00332FF9" w:rsidP="00446B38">
    <w:pPr>
      <w:pStyle w:val="Footer"/>
      <w:jc w:val="center"/>
      <w:rPr>
        <w:sz w:val="16"/>
      </w:rPr>
    </w:pPr>
    <w:r>
      <w:rPr>
        <w:sz w:val="16"/>
      </w:rPr>
      <w:t>Prepared by:</w:t>
    </w:r>
  </w:p>
  <w:p w:rsidR="00332FF9" w:rsidRDefault="00332FF9" w:rsidP="00446B38">
    <w:pPr>
      <w:pStyle w:val="Footer"/>
      <w:jc w:val="center"/>
      <w:rPr>
        <w:sz w:val="16"/>
      </w:rPr>
    </w:pPr>
  </w:p>
  <w:p w:rsidR="00332FF9" w:rsidRDefault="00332FF9" w:rsidP="00446B38">
    <w:pPr>
      <w:pStyle w:val="Footer"/>
      <w:jc w:val="center"/>
      <w:rPr>
        <w:sz w:val="16"/>
      </w:rPr>
    </w:pPr>
    <w:r>
      <w:rPr>
        <w:sz w:val="16"/>
      </w:rPr>
      <w:t>SKINNER &amp; PASCHKE, PLLC</w:t>
    </w:r>
  </w:p>
  <w:p w:rsidR="00332FF9" w:rsidRDefault="00332FF9" w:rsidP="00446B38">
    <w:pPr>
      <w:pStyle w:val="Footer"/>
      <w:jc w:val="center"/>
      <w:rPr>
        <w:sz w:val="16"/>
      </w:rPr>
    </w:pPr>
    <w:r>
      <w:rPr>
        <w:sz w:val="16"/>
      </w:rPr>
      <w:t xml:space="preserve">204 W. Hickman </w:t>
    </w:r>
    <w:proofErr w:type="gramStart"/>
    <w:r>
      <w:rPr>
        <w:sz w:val="16"/>
      </w:rPr>
      <w:t>Road  *</w:t>
    </w:r>
    <w:proofErr w:type="gramEnd"/>
    <w:r>
      <w:rPr>
        <w:sz w:val="16"/>
      </w:rPr>
      <w:t xml:space="preserve">  </w:t>
    </w:r>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lace">
        <w:r>
          <w:rPr>
            <w:sz w:val="16"/>
          </w:rPr>
          <w:t>Iowa</w:t>
        </w:r>
      </w:smartTag>
      <w:r>
        <w:rPr>
          <w:sz w:val="16"/>
        </w:rPr>
        <w:t xml:space="preserve"> </w:t>
      </w:r>
      <w:smartTag w:uri="urn:schemas-microsoft-com:office:smarttags" w:element="place">
        <w:r>
          <w:rPr>
            <w:sz w:val="16"/>
          </w:rPr>
          <w:t>50263</w:t>
        </w:r>
      </w:smartTag>
    </w:smartTag>
  </w:p>
  <w:p w:rsidR="00332FF9" w:rsidRDefault="00332FF9" w:rsidP="00446B38">
    <w:pPr>
      <w:pStyle w:val="Footer"/>
      <w:jc w:val="center"/>
      <w:rPr>
        <w:sz w:val="16"/>
      </w:rPr>
    </w:pPr>
    <w:r>
      <w:rPr>
        <w:sz w:val="16"/>
      </w:rPr>
      <w:t>Tel.  (515) 987-</w:t>
    </w:r>
    <w:proofErr w:type="gramStart"/>
    <w:r>
      <w:rPr>
        <w:sz w:val="16"/>
      </w:rPr>
      <w:t>0022  Fax</w:t>
    </w:r>
    <w:proofErr w:type="gramEnd"/>
    <w:r>
      <w:rPr>
        <w:sz w:val="16"/>
      </w:rPr>
      <w:t>. (515) 987-6972</w:t>
    </w:r>
  </w:p>
  <w:p w:rsidR="00332FF9" w:rsidRDefault="0033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91" w:rsidRDefault="00197191" w:rsidP="00CE421E">
      <w:r>
        <w:separator/>
      </w:r>
    </w:p>
  </w:footnote>
  <w:footnote w:type="continuationSeparator" w:id="0">
    <w:p w:rsidR="00197191" w:rsidRDefault="00197191" w:rsidP="00CE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4D588E"/>
    <w:multiLevelType w:val="hybridMultilevel"/>
    <w:tmpl w:val="354ADB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F4"/>
    <w:rsid w:val="0004692B"/>
    <w:rsid w:val="000473A4"/>
    <w:rsid w:val="00062C42"/>
    <w:rsid w:val="00080939"/>
    <w:rsid w:val="00087C6A"/>
    <w:rsid w:val="000D4EE3"/>
    <w:rsid w:val="00127DDA"/>
    <w:rsid w:val="00145256"/>
    <w:rsid w:val="00197191"/>
    <w:rsid w:val="001B5C7E"/>
    <w:rsid w:val="001C4411"/>
    <w:rsid w:val="00261E6B"/>
    <w:rsid w:val="00264841"/>
    <w:rsid w:val="00287ED7"/>
    <w:rsid w:val="00332FF9"/>
    <w:rsid w:val="003368F0"/>
    <w:rsid w:val="00363C49"/>
    <w:rsid w:val="003A77FF"/>
    <w:rsid w:val="003C53A3"/>
    <w:rsid w:val="003F7D20"/>
    <w:rsid w:val="00403059"/>
    <w:rsid w:val="004155CF"/>
    <w:rsid w:val="00446B38"/>
    <w:rsid w:val="00467494"/>
    <w:rsid w:val="004F665C"/>
    <w:rsid w:val="00513FFF"/>
    <w:rsid w:val="0053270D"/>
    <w:rsid w:val="005A1F97"/>
    <w:rsid w:val="005A544C"/>
    <w:rsid w:val="005B1749"/>
    <w:rsid w:val="006038B1"/>
    <w:rsid w:val="006062B9"/>
    <w:rsid w:val="00612ED3"/>
    <w:rsid w:val="00634C9D"/>
    <w:rsid w:val="00644142"/>
    <w:rsid w:val="00647EBF"/>
    <w:rsid w:val="00662EE8"/>
    <w:rsid w:val="007264DE"/>
    <w:rsid w:val="00746DE8"/>
    <w:rsid w:val="00754A87"/>
    <w:rsid w:val="0078453B"/>
    <w:rsid w:val="00791F9A"/>
    <w:rsid w:val="00796D6A"/>
    <w:rsid w:val="007B321C"/>
    <w:rsid w:val="007B6757"/>
    <w:rsid w:val="007E318A"/>
    <w:rsid w:val="007F06D9"/>
    <w:rsid w:val="008150D5"/>
    <w:rsid w:val="0082056B"/>
    <w:rsid w:val="008748B9"/>
    <w:rsid w:val="008A797B"/>
    <w:rsid w:val="008B05F8"/>
    <w:rsid w:val="008B6718"/>
    <w:rsid w:val="008F2EFF"/>
    <w:rsid w:val="00901B53"/>
    <w:rsid w:val="00915196"/>
    <w:rsid w:val="009325AA"/>
    <w:rsid w:val="009802EB"/>
    <w:rsid w:val="009C1CA8"/>
    <w:rsid w:val="00A1603E"/>
    <w:rsid w:val="00A401F4"/>
    <w:rsid w:val="00A93126"/>
    <w:rsid w:val="00AD39CF"/>
    <w:rsid w:val="00AE2F32"/>
    <w:rsid w:val="00B0077A"/>
    <w:rsid w:val="00B90A7B"/>
    <w:rsid w:val="00BD66E3"/>
    <w:rsid w:val="00BF2C77"/>
    <w:rsid w:val="00C76E6A"/>
    <w:rsid w:val="00CA120C"/>
    <w:rsid w:val="00CB301B"/>
    <w:rsid w:val="00CB3D52"/>
    <w:rsid w:val="00CD10EA"/>
    <w:rsid w:val="00CE421E"/>
    <w:rsid w:val="00CE43CE"/>
    <w:rsid w:val="00CF39F5"/>
    <w:rsid w:val="00D12EDF"/>
    <w:rsid w:val="00D22EF8"/>
    <w:rsid w:val="00D60AFD"/>
    <w:rsid w:val="00E47464"/>
    <w:rsid w:val="00E821CF"/>
    <w:rsid w:val="00E963B3"/>
    <w:rsid w:val="00EA1BCA"/>
    <w:rsid w:val="00EC1BEF"/>
    <w:rsid w:val="00ED0A71"/>
    <w:rsid w:val="00EE21DD"/>
    <w:rsid w:val="00EF28F0"/>
    <w:rsid w:val="00F06005"/>
    <w:rsid w:val="00F4663E"/>
    <w:rsid w:val="00F64D10"/>
    <w:rsid w:val="00F766DD"/>
    <w:rsid w:val="00FC05A3"/>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table" w:styleId="TableGrid">
    <w:name w:val="Table Grid"/>
    <w:basedOn w:val="TableNormal"/>
    <w:locked/>
    <w:rsid w:val="0012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table" w:styleId="TableGrid">
    <w:name w:val="Table Grid"/>
    <w:basedOn w:val="TableNormal"/>
    <w:locked/>
    <w:rsid w:val="0012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576">
      <w:bodyDiv w:val="1"/>
      <w:marLeft w:val="0"/>
      <w:marRight w:val="0"/>
      <w:marTop w:val="0"/>
      <w:marBottom w:val="0"/>
      <w:divBdr>
        <w:top w:val="none" w:sz="0" w:space="0" w:color="auto"/>
        <w:left w:val="none" w:sz="0" w:space="0" w:color="auto"/>
        <w:bottom w:val="none" w:sz="0" w:space="0" w:color="auto"/>
        <w:right w:val="none" w:sz="0" w:space="0" w:color="auto"/>
      </w:divBdr>
    </w:div>
    <w:div w:id="331689337">
      <w:marLeft w:val="0"/>
      <w:marRight w:val="0"/>
      <w:marTop w:val="0"/>
      <w:marBottom w:val="0"/>
      <w:divBdr>
        <w:top w:val="none" w:sz="0" w:space="0" w:color="auto"/>
        <w:left w:val="none" w:sz="0" w:space="0" w:color="auto"/>
        <w:bottom w:val="none" w:sz="0" w:space="0" w:color="auto"/>
        <w:right w:val="none" w:sz="0" w:space="0" w:color="auto"/>
      </w:divBdr>
    </w:div>
    <w:div w:id="331689338">
      <w:marLeft w:val="0"/>
      <w:marRight w:val="0"/>
      <w:marTop w:val="0"/>
      <w:marBottom w:val="0"/>
      <w:divBdr>
        <w:top w:val="none" w:sz="0" w:space="0" w:color="auto"/>
        <w:left w:val="none" w:sz="0" w:space="0" w:color="auto"/>
        <w:bottom w:val="none" w:sz="0" w:space="0" w:color="auto"/>
        <w:right w:val="none" w:sz="0" w:space="0" w:color="auto"/>
      </w:divBdr>
    </w:div>
    <w:div w:id="331689339">
      <w:marLeft w:val="0"/>
      <w:marRight w:val="0"/>
      <w:marTop w:val="0"/>
      <w:marBottom w:val="0"/>
      <w:divBdr>
        <w:top w:val="none" w:sz="0" w:space="0" w:color="auto"/>
        <w:left w:val="none" w:sz="0" w:space="0" w:color="auto"/>
        <w:bottom w:val="none" w:sz="0" w:space="0" w:color="auto"/>
        <w:right w:val="none" w:sz="0" w:space="0" w:color="auto"/>
      </w:divBdr>
    </w:div>
    <w:div w:id="331689340">
      <w:marLeft w:val="0"/>
      <w:marRight w:val="0"/>
      <w:marTop w:val="0"/>
      <w:marBottom w:val="0"/>
      <w:divBdr>
        <w:top w:val="none" w:sz="0" w:space="0" w:color="auto"/>
        <w:left w:val="none" w:sz="0" w:space="0" w:color="auto"/>
        <w:bottom w:val="none" w:sz="0" w:space="0" w:color="auto"/>
        <w:right w:val="none" w:sz="0" w:space="0" w:color="auto"/>
      </w:divBdr>
    </w:div>
    <w:div w:id="331689341">
      <w:marLeft w:val="0"/>
      <w:marRight w:val="0"/>
      <w:marTop w:val="0"/>
      <w:marBottom w:val="0"/>
      <w:divBdr>
        <w:top w:val="none" w:sz="0" w:space="0" w:color="auto"/>
        <w:left w:val="none" w:sz="0" w:space="0" w:color="auto"/>
        <w:bottom w:val="none" w:sz="0" w:space="0" w:color="auto"/>
        <w:right w:val="none" w:sz="0" w:space="0" w:color="auto"/>
      </w:divBdr>
    </w:div>
    <w:div w:id="331689342">
      <w:marLeft w:val="0"/>
      <w:marRight w:val="0"/>
      <w:marTop w:val="0"/>
      <w:marBottom w:val="0"/>
      <w:divBdr>
        <w:top w:val="none" w:sz="0" w:space="0" w:color="auto"/>
        <w:left w:val="none" w:sz="0" w:space="0" w:color="auto"/>
        <w:bottom w:val="none" w:sz="0" w:space="0" w:color="auto"/>
        <w:right w:val="none" w:sz="0" w:space="0" w:color="auto"/>
      </w:divBdr>
    </w:div>
    <w:div w:id="813252727">
      <w:bodyDiv w:val="1"/>
      <w:marLeft w:val="0"/>
      <w:marRight w:val="0"/>
      <w:marTop w:val="0"/>
      <w:marBottom w:val="0"/>
      <w:divBdr>
        <w:top w:val="none" w:sz="0" w:space="0" w:color="auto"/>
        <w:left w:val="none" w:sz="0" w:space="0" w:color="auto"/>
        <w:bottom w:val="none" w:sz="0" w:space="0" w:color="auto"/>
        <w:right w:val="none" w:sz="0" w:space="0" w:color="auto"/>
      </w:divBdr>
    </w:div>
    <w:div w:id="1081876087">
      <w:bodyDiv w:val="1"/>
      <w:marLeft w:val="0"/>
      <w:marRight w:val="0"/>
      <w:marTop w:val="0"/>
      <w:marBottom w:val="0"/>
      <w:divBdr>
        <w:top w:val="none" w:sz="0" w:space="0" w:color="auto"/>
        <w:left w:val="none" w:sz="0" w:space="0" w:color="auto"/>
        <w:bottom w:val="none" w:sz="0" w:space="0" w:color="auto"/>
        <w:right w:val="none" w:sz="0" w:space="0" w:color="auto"/>
      </w:divBdr>
    </w:div>
    <w:div w:id="14639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nks.govdelivery.com/track?type=click&amp;enid=ZWFzPTEmbWFpbGluZ2lkPTIwMTcwMzMwLjcxNzU1ODYxJm1lc3NhZ2VpZD1NREItUFJELUJVTC0yMDE3MDMzMC43MTc1NTg2MSZkYXRhYmFzZWlkPTEwMDEmc2VyaWFsPTE3NDAyMjA2JmVtYWlsaWQ9Y2hyaXN0aW5hLmJldHRpbmlAaW93YS5nb3YmdXNlcmlkPWNocmlzdGluYS5iZXR0aW5pQGlvd2EuZ292JmZsPSZleHRyYT1NdWx0aXZhcmlhdGVJZD0mJiY=&amp;&amp;&amp;106&amp;&amp;&amp;https://www.legis.iowa.gov/legislation/BillBook?ba=HF531&amp;ga=87&amp;utm_medium=email&amp;utm_source=govdelive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nks.govdelivery.com/track?type=click&amp;enid=ZWFzPTEmbWFpbGluZ2lkPTIwMTcwMzMwLjcxNzU1ODYxJm1lc3NhZ2VpZD1NREItUFJELUJVTC0yMDE3MDMzMC43MTc1NTg2MSZkYXRhYmFzZWlkPTEwMDEmc2VyaWFsPTE3NDAyMjA2JmVtYWlsaWQ9Y2hyaXN0aW5hLmJldHRpbmlAaW93YS5nb3YmdXNlcmlkPWNocmlzdGluYS5iZXR0aW5pQGlvd2EuZ292JmZsPSZleHRyYT1NdWx0aXZhcmlhdGVJZD0mJiY=&amp;&amp;&amp;102&amp;&amp;&amp;https://www.legis.iowa.gov/docs/publications/LGE/87/HF215.pdf?utm_medium=email&amp;utm_source=govdelive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nks.govdelivery.com/track?type=click&amp;enid=ZWFzPTEmbWFpbGluZ2lkPTIwMTcwMzMwLjcxNzU1ODYxJm1lc3NhZ2VpZD1NREItUFJELUJVTC0yMDE3MDMzMC43MTc1NTg2MSZkYXRhYmFzZWlkPTEwMDEmc2VyaWFsPTE3NDAyMjA2JmVtYWlsaWQ9Y2hyaXN0aW5hLmJldHRpbmlAaW93YS5nb3YmdXNlcmlkPWNocmlzdGluYS5iZXR0aW5pQGlvd2EuZ292JmZsPSZleHRyYT1NdWx0aXZhcmlhdGVJZD0mJiY=&amp;&amp;&amp;101&amp;&amp;&amp;https://www.legis.iowa.gov/docs/publications/LGR/87/HF518.pdf?utm_medium=email&amp;utm_source=govdelive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nks.govdelivery.com/track?type=click&amp;enid=ZWFzPTEmbWFpbGluZ2lkPTIwMTcwMzMwLjcxNzU1ODYxJm1lc3NhZ2VpZD1NREItUFJELUJVTC0yMDE3MDMzMC43MTc1NTg2MSZkYXRhYmFzZWlkPTEwMDEmc2VyaWFsPTE3NDAyMjA2JmVtYWlsaWQ9Y2hyaXN0aW5hLmJldHRpbmlAaW93YS5nb3YmdXNlcmlkPWNocmlzdGluYS5iZXR0aW5pQGlvd2EuZ292JmZsPSZleHRyYT1NdWx0aXZhcmlhdGVJZD0mJiY=&amp;&amp;&amp;100&amp;&amp;&amp;https://www.legis.iowa.gov/docs/publications/LGE/87/HF295.pdf?utm_medium=email&amp;utm_source=govdelivery"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links.govdelivery.com/track?type=click&amp;enid=ZWFzPTEmbWFpbGluZ2lkPTIwMTcwMzI5LjcxNjc1MjcxJm1lc3NhZ2VpZD1NREItUFJELUJVTC0yMDE3MDMyOS43MTY3NTI3MSZkYXRhYmFzZWlkPTEwMDEmc2VyaWFsPTE3NDAxNTk0JmVtYWlsaWQ9Y2hyaXN0aW5hLmJldHRpbmlAaW93YS5nb3YmdXNlcmlkPWNocmlzdGluYS5iZXR0aW5pQGlvd2EuZ292JmZsPSZleHRyYT1NdWx0aXZhcmlhdGVJZD0mJiY=&amp;&amp;&amp;100&amp;&amp;&amp;https://www.legis.iowa.gov/docs/publications/LGE/87/SF447.pdf?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Paschke</dc:creator>
  <cp:lastModifiedBy>Owner</cp:lastModifiedBy>
  <cp:revision>4</cp:revision>
  <dcterms:created xsi:type="dcterms:W3CDTF">2017-04-03T19:46:00Z</dcterms:created>
  <dcterms:modified xsi:type="dcterms:W3CDTF">2017-04-03T19:47:00Z</dcterms:modified>
</cp:coreProperties>
</file>