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F9" w:rsidRDefault="00332FF9" w:rsidP="00A401F4"/>
    <w:p w:rsidR="00332FF9" w:rsidRDefault="00332FF9" w:rsidP="00A401F4">
      <w:pPr>
        <w:jc w:val="right"/>
        <w:sectPr w:rsidR="00332FF9" w:rsidSect="003368F0">
          <w:footerReference w:type="default" r:id="rId8"/>
          <w:pgSz w:w="12240" w:h="15840"/>
          <w:pgMar w:top="720" w:right="1296" w:bottom="1296" w:left="1296" w:header="720" w:footer="720" w:gutter="0"/>
          <w:cols w:num="2" w:space="720" w:equalWidth="0">
            <w:col w:w="1764" w:space="180"/>
            <w:col w:w="7704"/>
          </w:cols>
          <w:docGrid w:linePitch="360"/>
        </w:sectPr>
      </w:pPr>
    </w:p>
    <w:p w:rsidR="00332FF9" w:rsidRDefault="008B6718" w:rsidP="00A401F4">
      <w:pPr>
        <w:jc w:val="right"/>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332FF9" w:rsidRPr="003368F0">
        <w:t xml:space="preserve"> </w:t>
      </w:r>
    </w:p>
    <w:p w:rsidR="00332FF9" w:rsidRPr="008748B9" w:rsidRDefault="00332FF9" w:rsidP="00A401F4">
      <w:pPr>
        <w:rPr>
          <w:rFonts w:ascii="Arial" w:hAnsi="Arial" w:cs="Arial"/>
        </w:rPr>
      </w:pPr>
    </w:p>
    <w:p w:rsidR="00332FF9" w:rsidRPr="008748B9" w:rsidRDefault="00332FF9" w:rsidP="00A401F4">
      <w:pPr>
        <w:jc w:val="center"/>
        <w:rPr>
          <w:rFonts w:ascii="Arial" w:hAnsi="Arial" w:cs="Arial"/>
          <w:b/>
          <w:i/>
          <w:sz w:val="28"/>
          <w:szCs w:val="28"/>
        </w:rPr>
      </w:pPr>
    </w:p>
    <w:p w:rsidR="00332FF9" w:rsidRPr="008748B9" w:rsidRDefault="00332FF9" w:rsidP="00A401F4">
      <w:pPr>
        <w:jc w:val="center"/>
        <w:rPr>
          <w:rFonts w:ascii="Arial" w:hAnsi="Arial" w:cs="Arial"/>
          <w:b/>
          <w:i/>
          <w:sz w:val="28"/>
          <w:szCs w:val="28"/>
        </w:rPr>
      </w:pPr>
      <w:r w:rsidRPr="008748B9">
        <w:rPr>
          <w:rFonts w:ascii="Arial" w:hAnsi="Arial" w:cs="Arial"/>
          <w:b/>
          <w:i/>
          <w:sz w:val="28"/>
          <w:szCs w:val="28"/>
        </w:rPr>
        <w:t>LEGISLATIVE UPDATE</w:t>
      </w:r>
    </w:p>
    <w:p w:rsidR="00332FF9" w:rsidRPr="008748B9" w:rsidRDefault="00332FF9" w:rsidP="00A401F4">
      <w:pPr>
        <w:jc w:val="center"/>
        <w:rPr>
          <w:rFonts w:ascii="Arial" w:hAnsi="Arial" w:cs="Arial"/>
          <w:b/>
          <w:sz w:val="28"/>
          <w:szCs w:val="28"/>
        </w:rPr>
      </w:pPr>
    </w:p>
    <w:p w:rsidR="00332FF9" w:rsidRPr="008748B9" w:rsidRDefault="00D22EF8" w:rsidP="00A401F4">
      <w:pPr>
        <w:jc w:val="center"/>
        <w:rPr>
          <w:rFonts w:ascii="Arial" w:hAnsi="Arial" w:cs="Arial"/>
          <w:b/>
          <w:sz w:val="28"/>
          <w:szCs w:val="28"/>
        </w:rPr>
      </w:pPr>
      <w:r>
        <w:rPr>
          <w:rFonts w:ascii="Arial" w:hAnsi="Arial" w:cs="Arial"/>
          <w:b/>
          <w:sz w:val="28"/>
          <w:szCs w:val="28"/>
        </w:rPr>
        <w:t>Week 11</w:t>
      </w:r>
    </w:p>
    <w:p w:rsidR="00332FF9" w:rsidRPr="008748B9" w:rsidRDefault="00332FF9" w:rsidP="00A401F4">
      <w:pPr>
        <w:jc w:val="center"/>
        <w:rPr>
          <w:rFonts w:ascii="Arial" w:hAnsi="Arial" w:cs="Arial"/>
        </w:rPr>
      </w:pPr>
      <w:r w:rsidRPr="008748B9">
        <w:rPr>
          <w:rFonts w:ascii="Arial" w:hAnsi="Arial" w:cs="Arial"/>
        </w:rPr>
        <w:t>____________________________________________</w:t>
      </w:r>
    </w:p>
    <w:p w:rsidR="00332FF9" w:rsidRPr="008748B9" w:rsidRDefault="00332FF9" w:rsidP="00A401F4">
      <w:pPr>
        <w:rPr>
          <w:rFonts w:ascii="Arial" w:hAnsi="Arial" w:cs="Arial"/>
        </w:rPr>
      </w:pPr>
    </w:p>
    <w:p w:rsidR="00332FF9" w:rsidRDefault="00332FF9" w:rsidP="00A401F4">
      <w:pPr>
        <w:rPr>
          <w:rFonts w:ascii="Arial" w:hAnsi="Arial" w:cs="Arial"/>
        </w:rPr>
      </w:pPr>
    </w:p>
    <w:p w:rsidR="00F42A45" w:rsidRDefault="00F42A45" w:rsidP="00FC05A3">
      <w:pPr>
        <w:widowControl w:val="0"/>
        <w:autoSpaceDE w:val="0"/>
        <w:autoSpaceDN w:val="0"/>
        <w:adjustRightInd w:val="0"/>
        <w:rPr>
          <w:rFonts w:ascii="Arial" w:hAnsi="Arial" w:cs="Arial"/>
          <w:b/>
        </w:rPr>
      </w:pPr>
    </w:p>
    <w:p w:rsidR="00FC05A3" w:rsidRDefault="0082247C" w:rsidP="00FC05A3">
      <w:pPr>
        <w:widowControl w:val="0"/>
        <w:autoSpaceDE w:val="0"/>
        <w:autoSpaceDN w:val="0"/>
        <w:adjustRightInd w:val="0"/>
        <w:rPr>
          <w:rFonts w:ascii="Arial" w:hAnsi="Arial" w:cs="Arial"/>
          <w:b/>
        </w:rPr>
      </w:pPr>
      <w:r>
        <w:rPr>
          <w:rFonts w:ascii="Arial" w:hAnsi="Arial" w:cs="Arial"/>
          <w:b/>
        </w:rPr>
        <w:t>State Revenue Estimates Reduced</w:t>
      </w:r>
      <w:bookmarkStart w:id="0" w:name="_GoBack"/>
      <w:bookmarkEnd w:id="0"/>
    </w:p>
    <w:p w:rsidR="00FC05A3" w:rsidRPr="008A326D" w:rsidRDefault="00FC05A3" w:rsidP="00FC05A3">
      <w:pPr>
        <w:widowControl w:val="0"/>
        <w:autoSpaceDE w:val="0"/>
        <w:autoSpaceDN w:val="0"/>
        <w:adjustRightInd w:val="0"/>
        <w:rPr>
          <w:rFonts w:ascii="Arial" w:hAnsi="Arial" w:cs="Arial"/>
        </w:rPr>
      </w:pPr>
      <w:r w:rsidRPr="008A326D">
        <w:rPr>
          <w:rFonts w:ascii="Arial" w:hAnsi="Arial" w:cs="Arial"/>
        </w:rPr>
        <w:t xml:space="preserve">The State Revenue Estimating Conference (REC) met </w:t>
      </w:r>
      <w:r>
        <w:rPr>
          <w:rFonts w:ascii="Arial" w:hAnsi="Arial" w:cs="Arial"/>
        </w:rPr>
        <w:t>last earlier this month</w:t>
      </w:r>
      <w:r w:rsidRPr="008A326D">
        <w:rPr>
          <w:rFonts w:ascii="Arial" w:hAnsi="Arial" w:cs="Arial"/>
        </w:rPr>
        <w:t xml:space="preserve"> and lowered expected FY 17 revenues by $105.9 million. That comes after the REC had already previously lowered expected FY 17 revenues in December by $117 million</w:t>
      </w:r>
      <w:r>
        <w:rPr>
          <w:rFonts w:ascii="Arial" w:hAnsi="Arial" w:cs="Arial"/>
        </w:rPr>
        <w:t xml:space="preserve">.  </w:t>
      </w:r>
      <w:r w:rsidRPr="008A326D">
        <w:rPr>
          <w:rFonts w:ascii="Arial" w:hAnsi="Arial" w:cs="Arial"/>
        </w:rPr>
        <w:t>Gov. Branstad has proposed using money in the state’s Cash Reserve Fund to make up for this second reduction in state revenues. If that happens, $131 million will need to be borrowed and paid back. The $25 million difference is due to the use of $25 million in non-recurring funds to help patch the hole left in December when the REC first lowered the revenue level.</w:t>
      </w:r>
    </w:p>
    <w:p w:rsidR="00127DDA" w:rsidRDefault="00127DDA" w:rsidP="00A401F4">
      <w:pPr>
        <w:rPr>
          <w:rFonts w:ascii="Arial" w:hAnsi="Arial" w:cs="Arial"/>
        </w:rPr>
      </w:pPr>
    </w:p>
    <w:p w:rsidR="00EE21DD" w:rsidRDefault="00EE21DD" w:rsidP="00A401F4">
      <w:pPr>
        <w:rPr>
          <w:rFonts w:ascii="Arial" w:hAnsi="Arial" w:cs="Arial"/>
        </w:rPr>
      </w:pPr>
    </w:p>
    <w:p w:rsidR="00127DDA" w:rsidRDefault="00127DDA" w:rsidP="00EE21DD">
      <w:pPr>
        <w:jc w:val="center"/>
        <w:rPr>
          <w:rFonts w:ascii="Arial" w:hAnsi="Arial" w:cs="Arial"/>
        </w:rPr>
      </w:pPr>
      <w:r>
        <w:rPr>
          <w:rFonts w:ascii="Arial" w:hAnsi="Arial" w:cs="Arial"/>
          <w:b/>
        </w:rPr>
        <w:t>Bills of Interest</w:t>
      </w:r>
    </w:p>
    <w:p w:rsidR="00127DDA" w:rsidRDefault="00127DDA" w:rsidP="00A401F4">
      <w:pPr>
        <w:rPr>
          <w:rFonts w:ascii="Arial" w:hAnsi="Arial" w:cs="Arial"/>
        </w:rPr>
      </w:pPr>
    </w:p>
    <w:p w:rsidR="00F42A45" w:rsidRPr="00F42A45" w:rsidRDefault="002B01DE" w:rsidP="00F42A45">
      <w:pPr>
        <w:rPr>
          <w:rFonts w:ascii="Arial" w:hAnsi="Arial" w:cs="Arial"/>
        </w:rPr>
      </w:pPr>
      <w:hyperlink r:id="rId10" w:history="1">
        <w:r w:rsidR="008A4FEE" w:rsidRPr="008A4FEE">
          <w:rPr>
            <w:rStyle w:val="Hyperlink"/>
            <w:rFonts w:ascii="Arial" w:hAnsi="Arial" w:cs="Arial"/>
            <w:b/>
            <w:bCs/>
          </w:rPr>
          <w:t>HF581</w:t>
        </w:r>
      </w:hyperlink>
      <w:r w:rsidR="00F42A45">
        <w:rPr>
          <w:rFonts w:ascii="Arial" w:hAnsi="Arial" w:cs="Arial"/>
          <w:b/>
          <w:bCs/>
        </w:rPr>
        <w:t>– Search Warrant Confidentiality</w:t>
      </w:r>
      <w:r w:rsidR="00F42A45" w:rsidRPr="00F42A45">
        <w:rPr>
          <w:rFonts w:ascii="Arial" w:hAnsi="Arial" w:cs="Arial"/>
          <w:b/>
          <w:bCs/>
        </w:rPr>
        <w:t xml:space="preserve"> </w:t>
      </w:r>
    </w:p>
    <w:p w:rsidR="00F42A45" w:rsidRDefault="00F42A45" w:rsidP="00F42A45">
      <w:pPr>
        <w:rPr>
          <w:rFonts w:ascii="Arial" w:hAnsi="Arial" w:cs="Arial"/>
        </w:rPr>
      </w:pPr>
      <w:r>
        <w:rPr>
          <w:rFonts w:ascii="Arial" w:hAnsi="Arial" w:cs="Arial"/>
        </w:rPr>
        <w:t>HF 581 makes</w:t>
      </w:r>
      <w:r w:rsidRPr="00F42A45">
        <w:rPr>
          <w:rFonts w:ascii="Arial" w:hAnsi="Arial" w:cs="Arial"/>
        </w:rPr>
        <w:t xml:space="preserve"> the information used to secure a search warrant </w:t>
      </w:r>
      <w:r>
        <w:rPr>
          <w:rFonts w:ascii="Arial" w:hAnsi="Arial" w:cs="Arial"/>
        </w:rPr>
        <w:t>a confidential record</w:t>
      </w:r>
      <w:r w:rsidRPr="00F42A45">
        <w:rPr>
          <w:rFonts w:ascii="Arial" w:hAnsi="Arial" w:cs="Arial"/>
        </w:rPr>
        <w:t xml:space="preserve"> until the officer has executed the warrant and filed a return of s</w:t>
      </w:r>
      <w:r>
        <w:rPr>
          <w:rFonts w:ascii="Arial" w:hAnsi="Arial" w:cs="Arial"/>
        </w:rPr>
        <w:t>ervice with the court. Further, the</w:t>
      </w:r>
      <w:r w:rsidRPr="00F42A45">
        <w:rPr>
          <w:rFonts w:ascii="Arial" w:hAnsi="Arial" w:cs="Arial"/>
        </w:rPr>
        <w:t xml:space="preserve"> information used to secure a search warrant </w:t>
      </w:r>
      <w:r>
        <w:rPr>
          <w:rFonts w:ascii="Arial" w:hAnsi="Arial" w:cs="Arial"/>
        </w:rPr>
        <w:t xml:space="preserve">would also be </w:t>
      </w:r>
      <w:r w:rsidRPr="00F42A45">
        <w:rPr>
          <w:rFonts w:ascii="Arial" w:hAnsi="Arial" w:cs="Arial"/>
        </w:rPr>
        <w:t>a confidential record in acquittals, d</w:t>
      </w:r>
      <w:r>
        <w:rPr>
          <w:rFonts w:ascii="Arial" w:hAnsi="Arial" w:cs="Arial"/>
        </w:rPr>
        <w:t>ismissals or deferred judgments. The records could</w:t>
      </w:r>
      <w:r w:rsidRPr="00F42A45">
        <w:rPr>
          <w:rFonts w:ascii="Arial" w:hAnsi="Arial" w:cs="Arial"/>
        </w:rPr>
        <w:t xml:space="preserve"> be circulated only to peace officers, magistrates and court employees, and only in the course of their official duty. </w:t>
      </w:r>
    </w:p>
    <w:p w:rsidR="00F42A45" w:rsidRPr="00F42A45" w:rsidRDefault="00F42A45" w:rsidP="00F42A45">
      <w:pPr>
        <w:rPr>
          <w:rFonts w:ascii="Arial" w:hAnsi="Arial" w:cs="Arial"/>
        </w:rPr>
      </w:pPr>
      <w:r>
        <w:rPr>
          <w:rFonts w:ascii="Arial" w:hAnsi="Arial" w:cs="Arial"/>
        </w:rPr>
        <w:t>HF 581 was approved by the House by a vote of 93-0 and now goes to the Senate.</w:t>
      </w:r>
    </w:p>
    <w:p w:rsidR="00F42A45" w:rsidRDefault="00F42A45" w:rsidP="00A401F4">
      <w:pPr>
        <w:rPr>
          <w:rFonts w:ascii="Arial" w:hAnsi="Arial" w:cs="Arial"/>
        </w:rPr>
      </w:pPr>
    </w:p>
    <w:p w:rsidR="00AB7ECA" w:rsidRDefault="002B01DE" w:rsidP="00AB7ECA">
      <w:pPr>
        <w:pStyle w:val="Default"/>
        <w:rPr>
          <w:sz w:val="22"/>
          <w:szCs w:val="22"/>
        </w:rPr>
      </w:pPr>
      <w:hyperlink r:id="rId11" w:history="1">
        <w:r w:rsidR="008A4FEE" w:rsidRPr="008A4FEE">
          <w:rPr>
            <w:rStyle w:val="Hyperlink"/>
            <w:rFonts w:cs="Arial"/>
            <w:b/>
            <w:bCs/>
            <w:sz w:val="22"/>
            <w:szCs w:val="22"/>
          </w:rPr>
          <w:t>HJR1</w:t>
        </w:r>
      </w:hyperlink>
      <w:r w:rsidR="008A4FEE">
        <w:rPr>
          <w:b/>
          <w:bCs/>
          <w:sz w:val="22"/>
          <w:szCs w:val="22"/>
        </w:rPr>
        <w:t xml:space="preserve"> </w:t>
      </w:r>
      <w:r w:rsidR="00AB7ECA">
        <w:rPr>
          <w:b/>
          <w:bCs/>
          <w:sz w:val="22"/>
          <w:szCs w:val="22"/>
        </w:rPr>
        <w:t>– Electronic Searches</w:t>
      </w:r>
    </w:p>
    <w:p w:rsidR="00AB7ECA" w:rsidRDefault="00AB7ECA" w:rsidP="00AB7ECA">
      <w:pPr>
        <w:pStyle w:val="Default"/>
        <w:rPr>
          <w:sz w:val="22"/>
          <w:szCs w:val="22"/>
        </w:rPr>
      </w:pPr>
      <w:r>
        <w:rPr>
          <w:sz w:val="22"/>
          <w:szCs w:val="22"/>
        </w:rPr>
        <w:t xml:space="preserve">HJR 1 proposes an Iowa constitutional amendment to deem that a person’s electronic communications are secure against unreasonable searches and that searches must be based on a warrant issued for probable cause. </w:t>
      </w:r>
    </w:p>
    <w:p w:rsidR="00AB7ECA" w:rsidRDefault="00AB7ECA" w:rsidP="00A401F4">
      <w:pPr>
        <w:rPr>
          <w:rFonts w:ascii="Arial" w:hAnsi="Arial" w:cs="Arial"/>
        </w:rPr>
      </w:pPr>
    </w:p>
    <w:p w:rsidR="00AB7ECA" w:rsidRDefault="00AB7ECA" w:rsidP="00A401F4">
      <w:pPr>
        <w:rPr>
          <w:rFonts w:ascii="Arial" w:hAnsi="Arial" w:cs="Arial"/>
        </w:rPr>
      </w:pPr>
      <w:r>
        <w:rPr>
          <w:rFonts w:ascii="Arial" w:hAnsi="Arial" w:cs="Arial"/>
        </w:rPr>
        <w:t>HJR was approved by the House by a vote of 94-0.  It moves to the Senate for further consideration.</w:t>
      </w:r>
    </w:p>
    <w:p w:rsidR="00AB7ECA" w:rsidRDefault="00AB7ECA" w:rsidP="00A401F4">
      <w:pPr>
        <w:rPr>
          <w:rFonts w:ascii="Arial" w:hAnsi="Arial" w:cs="Arial"/>
        </w:rPr>
      </w:pPr>
    </w:p>
    <w:p w:rsidR="00AB7ECA" w:rsidRPr="00AB7ECA" w:rsidRDefault="002B01DE" w:rsidP="00AB7ECA">
      <w:pPr>
        <w:rPr>
          <w:rFonts w:ascii="Arial" w:hAnsi="Arial" w:cs="Arial"/>
        </w:rPr>
      </w:pPr>
      <w:hyperlink r:id="rId12" w:history="1">
        <w:r w:rsidR="008A4FEE" w:rsidRPr="008A4FEE">
          <w:rPr>
            <w:rStyle w:val="Hyperlink"/>
            <w:rFonts w:ascii="Arial" w:hAnsi="Arial" w:cs="Arial"/>
            <w:b/>
            <w:bCs/>
          </w:rPr>
          <w:t>SF445</w:t>
        </w:r>
      </w:hyperlink>
      <w:r w:rsidR="008A4FEE">
        <w:rPr>
          <w:rFonts w:ascii="Arial" w:hAnsi="Arial" w:cs="Arial"/>
          <w:b/>
          <w:bCs/>
        </w:rPr>
        <w:t xml:space="preserve"> </w:t>
      </w:r>
      <w:r w:rsidR="00AB7ECA">
        <w:rPr>
          <w:rFonts w:ascii="Arial" w:hAnsi="Arial" w:cs="Arial"/>
          <w:b/>
          <w:bCs/>
        </w:rPr>
        <w:t>– Law Enforcement Privilege</w:t>
      </w:r>
    </w:p>
    <w:p w:rsidR="00AB7ECA" w:rsidRDefault="004538DD" w:rsidP="00AB7ECA">
      <w:pPr>
        <w:rPr>
          <w:rFonts w:ascii="Arial" w:hAnsi="Arial" w:cs="Arial"/>
        </w:rPr>
      </w:pPr>
      <w:r>
        <w:rPr>
          <w:rFonts w:ascii="Arial" w:hAnsi="Arial" w:cs="Arial"/>
        </w:rPr>
        <w:t>SF 445 establishes a</w:t>
      </w:r>
      <w:r w:rsidR="00AB7ECA" w:rsidRPr="00AB7ECA">
        <w:rPr>
          <w:rFonts w:ascii="Arial" w:hAnsi="Arial" w:cs="Arial"/>
        </w:rPr>
        <w:t xml:space="preserve"> l</w:t>
      </w:r>
      <w:r>
        <w:rPr>
          <w:rFonts w:ascii="Arial" w:hAnsi="Arial" w:cs="Arial"/>
        </w:rPr>
        <w:t>aw enforcement privilege by allowing</w:t>
      </w:r>
      <w:r w:rsidR="00AB7ECA" w:rsidRPr="00AB7ECA">
        <w:rPr>
          <w:rFonts w:ascii="Arial" w:hAnsi="Arial" w:cs="Arial"/>
        </w:rPr>
        <w:t xml:space="preserve"> </w:t>
      </w:r>
      <w:r>
        <w:rPr>
          <w:rFonts w:ascii="Arial" w:hAnsi="Arial" w:cs="Arial"/>
        </w:rPr>
        <w:t xml:space="preserve">certain </w:t>
      </w:r>
      <w:r w:rsidR="00AB7ECA" w:rsidRPr="00AB7ECA">
        <w:rPr>
          <w:rFonts w:ascii="Arial" w:hAnsi="Arial" w:cs="Arial"/>
        </w:rPr>
        <w:t>law enforcement</w:t>
      </w:r>
      <w:r>
        <w:rPr>
          <w:rFonts w:ascii="Arial" w:hAnsi="Arial" w:cs="Arial"/>
        </w:rPr>
        <w:t xml:space="preserve"> officers</w:t>
      </w:r>
      <w:r w:rsidR="00AB7ECA" w:rsidRPr="00AB7ECA">
        <w:rPr>
          <w:rFonts w:ascii="Arial" w:hAnsi="Arial" w:cs="Arial"/>
        </w:rPr>
        <w:t xml:space="preserve"> to assert privilege when testifying in criminal trials over some procedural and other matters, includin</w:t>
      </w:r>
      <w:r>
        <w:rPr>
          <w:rFonts w:ascii="Arial" w:hAnsi="Arial" w:cs="Arial"/>
        </w:rPr>
        <w:t>g personal family information. The bill also e</w:t>
      </w:r>
      <w:r w:rsidR="00AB7ECA" w:rsidRPr="00AB7ECA">
        <w:rPr>
          <w:rFonts w:ascii="Arial" w:hAnsi="Arial" w:cs="Arial"/>
        </w:rPr>
        <w:t xml:space="preserve">stablishes procedures to consider whether such information is privileged. </w:t>
      </w:r>
    </w:p>
    <w:p w:rsidR="004538DD" w:rsidRDefault="004538DD" w:rsidP="00AB7ECA">
      <w:pPr>
        <w:rPr>
          <w:rFonts w:ascii="Arial" w:hAnsi="Arial" w:cs="Arial"/>
        </w:rPr>
      </w:pPr>
    </w:p>
    <w:p w:rsidR="00AB7ECA" w:rsidRPr="00AB7ECA" w:rsidRDefault="00AB7ECA" w:rsidP="00AB7ECA">
      <w:pPr>
        <w:rPr>
          <w:rFonts w:ascii="Arial" w:hAnsi="Arial" w:cs="Arial"/>
          <w:b/>
          <w:bCs/>
        </w:rPr>
      </w:pPr>
      <w:r w:rsidRPr="00AB7ECA">
        <w:rPr>
          <w:rFonts w:ascii="Arial" w:hAnsi="Arial" w:cs="Arial"/>
        </w:rPr>
        <w:t>The</w:t>
      </w:r>
      <w:r w:rsidR="004538DD">
        <w:rPr>
          <w:rFonts w:ascii="Arial" w:hAnsi="Arial" w:cs="Arial"/>
          <w:b/>
          <w:bCs/>
        </w:rPr>
        <w:t xml:space="preserve"> </w:t>
      </w:r>
      <w:r w:rsidR="004538DD">
        <w:rPr>
          <w:rFonts w:ascii="Arial" w:hAnsi="Arial" w:cs="Arial"/>
          <w:bCs/>
        </w:rPr>
        <w:t>Senate approved SF 445 by a vote of 49-0</w:t>
      </w:r>
      <w:r w:rsidR="004538DD">
        <w:rPr>
          <w:rFonts w:ascii="Arial" w:hAnsi="Arial" w:cs="Arial"/>
        </w:rPr>
        <w:t>, and it now moves to the House for consideration.</w:t>
      </w:r>
    </w:p>
    <w:p w:rsidR="00AB7ECA" w:rsidRDefault="00AB7ECA" w:rsidP="00A401F4">
      <w:pPr>
        <w:rPr>
          <w:rFonts w:ascii="Arial" w:hAnsi="Arial" w:cs="Arial"/>
        </w:rPr>
      </w:pPr>
    </w:p>
    <w:p w:rsidR="00AB7ECA" w:rsidRDefault="00AB7ECA" w:rsidP="00A401F4">
      <w:pPr>
        <w:rPr>
          <w:rFonts w:ascii="Arial" w:hAnsi="Arial" w:cs="Arial"/>
        </w:rPr>
      </w:pPr>
    </w:p>
    <w:p w:rsidR="00AB7ECA" w:rsidRPr="00AB7ECA" w:rsidRDefault="002B01DE" w:rsidP="00AB7ECA">
      <w:pPr>
        <w:rPr>
          <w:rFonts w:ascii="Arial" w:hAnsi="Arial" w:cs="Arial"/>
        </w:rPr>
      </w:pPr>
      <w:hyperlink r:id="rId13" w:history="1">
        <w:r w:rsidR="008A4FEE" w:rsidRPr="008A4FEE">
          <w:rPr>
            <w:rStyle w:val="Hyperlink"/>
            <w:rFonts w:ascii="Arial" w:hAnsi="Arial" w:cs="Arial"/>
            <w:b/>
            <w:bCs/>
          </w:rPr>
          <w:t>HF579</w:t>
        </w:r>
      </w:hyperlink>
      <w:r w:rsidR="008A4FEE">
        <w:rPr>
          <w:rFonts w:ascii="Arial" w:hAnsi="Arial" w:cs="Arial"/>
          <w:b/>
          <w:bCs/>
        </w:rPr>
        <w:t xml:space="preserve"> </w:t>
      </w:r>
      <w:r w:rsidR="007407AC">
        <w:rPr>
          <w:rFonts w:ascii="Arial" w:hAnsi="Arial" w:cs="Arial"/>
          <w:b/>
          <w:bCs/>
        </w:rPr>
        <w:t>– Cocaine and other Penalties</w:t>
      </w:r>
      <w:r w:rsidR="00AB7ECA" w:rsidRPr="00AB7ECA">
        <w:rPr>
          <w:rFonts w:ascii="Arial" w:hAnsi="Arial" w:cs="Arial"/>
          <w:b/>
          <w:bCs/>
        </w:rPr>
        <w:t xml:space="preserve"> </w:t>
      </w:r>
    </w:p>
    <w:p w:rsidR="007407AC" w:rsidRDefault="007407AC" w:rsidP="00AB7ECA">
      <w:pPr>
        <w:rPr>
          <w:rFonts w:ascii="Arial" w:hAnsi="Arial" w:cs="Arial"/>
          <w:bCs/>
        </w:rPr>
      </w:pPr>
      <w:r>
        <w:rPr>
          <w:rFonts w:ascii="Arial" w:hAnsi="Arial" w:cs="Arial"/>
          <w:bCs/>
        </w:rPr>
        <w:t>HF 579 makes various sentencing changes to Iowa law including:</w:t>
      </w:r>
    </w:p>
    <w:p w:rsidR="007407AC" w:rsidRPr="007407AC" w:rsidRDefault="007407AC" w:rsidP="00AB7ECA">
      <w:pPr>
        <w:rPr>
          <w:rFonts w:ascii="Arial" w:hAnsi="Arial" w:cs="Arial"/>
          <w:bCs/>
        </w:rPr>
      </w:pPr>
    </w:p>
    <w:p w:rsidR="007407AC" w:rsidRDefault="00AB7ECA" w:rsidP="00AB7ECA">
      <w:pPr>
        <w:rPr>
          <w:rFonts w:ascii="Arial" w:hAnsi="Arial" w:cs="Arial"/>
        </w:rPr>
      </w:pPr>
      <w:r w:rsidRPr="00AB7ECA">
        <w:rPr>
          <w:rFonts w:ascii="Arial" w:hAnsi="Arial" w:cs="Arial"/>
          <w:b/>
          <w:bCs/>
        </w:rPr>
        <w:t xml:space="preserve">Cocaine: </w:t>
      </w:r>
      <w:r w:rsidRPr="00AB7ECA">
        <w:rPr>
          <w:rFonts w:ascii="Arial" w:hAnsi="Arial" w:cs="Arial"/>
        </w:rPr>
        <w:t xml:space="preserve">Increases the amounts of cocaine base to trigger certain felony penalties: up to 20 grams for Class C felonies; 20-100 for Class B (25 years); 100 for Class B (50 years). </w:t>
      </w:r>
    </w:p>
    <w:p w:rsidR="007407AC" w:rsidRDefault="007407AC" w:rsidP="00AB7ECA">
      <w:pPr>
        <w:rPr>
          <w:rFonts w:ascii="Arial" w:hAnsi="Arial" w:cs="Arial"/>
        </w:rPr>
      </w:pPr>
    </w:p>
    <w:p w:rsidR="007407AC" w:rsidRDefault="00AB7ECA" w:rsidP="00AB7ECA">
      <w:pPr>
        <w:rPr>
          <w:rFonts w:ascii="Arial" w:hAnsi="Arial" w:cs="Arial"/>
        </w:rPr>
      </w:pPr>
      <w:r w:rsidRPr="00AB7ECA">
        <w:rPr>
          <w:rFonts w:ascii="Arial" w:hAnsi="Arial" w:cs="Arial"/>
          <w:b/>
          <w:bCs/>
        </w:rPr>
        <w:t>Sentences</w:t>
      </w:r>
      <w:r w:rsidRPr="00AB7ECA">
        <w:rPr>
          <w:rFonts w:ascii="Arial" w:hAnsi="Arial" w:cs="Arial"/>
        </w:rPr>
        <w:t xml:space="preserve">: Does not require certain Class C drug offenders to serve a mandatory minimum if the offender has not been convicted of a forcible felony. Allows a court to impose a standard sentence without a mandatory minimum if the court finds a compelling reason that not imposing a standard injustice would be a substantial injustice and that a sentence other than a standard sentence is not needed to protect the public. </w:t>
      </w:r>
    </w:p>
    <w:p w:rsidR="007407AC" w:rsidRDefault="007407AC" w:rsidP="00AB7ECA">
      <w:pPr>
        <w:rPr>
          <w:rFonts w:ascii="Arial" w:hAnsi="Arial" w:cs="Arial"/>
        </w:rPr>
      </w:pPr>
    </w:p>
    <w:p w:rsidR="00AB7ECA" w:rsidRDefault="00AB7ECA" w:rsidP="00AB7ECA">
      <w:pPr>
        <w:rPr>
          <w:rFonts w:ascii="Arial" w:hAnsi="Arial" w:cs="Arial"/>
        </w:rPr>
      </w:pPr>
      <w:r w:rsidRPr="00AB7ECA">
        <w:rPr>
          <w:rFonts w:ascii="Arial" w:hAnsi="Arial" w:cs="Arial"/>
          <w:b/>
          <w:bCs/>
        </w:rPr>
        <w:t xml:space="preserve">Attempted Murder Police: </w:t>
      </w:r>
      <w:r w:rsidRPr="00AB7ECA">
        <w:rPr>
          <w:rFonts w:ascii="Arial" w:hAnsi="Arial" w:cs="Arial"/>
        </w:rPr>
        <w:t xml:space="preserve">Does not allow an offender convicted of attempted murder of a police officer to earn good time or early release and requires such an offender to serve 100% of the sentence. </w:t>
      </w:r>
    </w:p>
    <w:p w:rsidR="007407AC" w:rsidRPr="00AB7ECA" w:rsidRDefault="007407AC" w:rsidP="00AB7ECA">
      <w:pPr>
        <w:rPr>
          <w:rFonts w:ascii="Arial" w:hAnsi="Arial" w:cs="Arial"/>
        </w:rPr>
      </w:pPr>
    </w:p>
    <w:p w:rsidR="00AB7ECA" w:rsidRPr="00AB7ECA" w:rsidRDefault="00CE2ADA" w:rsidP="00AB7ECA">
      <w:pPr>
        <w:rPr>
          <w:rFonts w:ascii="Arial" w:hAnsi="Arial" w:cs="Arial"/>
          <w:b/>
          <w:bCs/>
        </w:rPr>
      </w:pPr>
      <w:r>
        <w:rPr>
          <w:rFonts w:ascii="Arial" w:hAnsi="Arial" w:cs="Arial"/>
        </w:rPr>
        <w:t>HF 579 was approved by the House by a vote of 97-0; it now moves to the Senate for consideration.</w:t>
      </w:r>
    </w:p>
    <w:p w:rsidR="00AB7ECA" w:rsidRDefault="00AB7ECA" w:rsidP="00A401F4">
      <w:pPr>
        <w:rPr>
          <w:rFonts w:ascii="Arial" w:hAnsi="Arial" w:cs="Arial"/>
        </w:rPr>
      </w:pPr>
    </w:p>
    <w:p w:rsidR="00AB7ECA" w:rsidRPr="00AB7ECA" w:rsidRDefault="002B01DE" w:rsidP="00AB7ECA">
      <w:pPr>
        <w:rPr>
          <w:rFonts w:ascii="Arial" w:hAnsi="Arial" w:cs="Arial"/>
        </w:rPr>
      </w:pPr>
      <w:hyperlink r:id="rId14" w:history="1">
        <w:r w:rsidR="008A4FEE" w:rsidRPr="008A4FEE">
          <w:rPr>
            <w:rStyle w:val="Hyperlink"/>
            <w:rFonts w:ascii="Arial" w:hAnsi="Arial" w:cs="Arial"/>
            <w:b/>
            <w:bCs/>
          </w:rPr>
          <w:t>SF434</w:t>
        </w:r>
      </w:hyperlink>
      <w:r w:rsidR="008A4FEE">
        <w:rPr>
          <w:rFonts w:ascii="Arial" w:hAnsi="Arial" w:cs="Arial"/>
          <w:b/>
          <w:bCs/>
        </w:rPr>
        <w:t xml:space="preserve"> </w:t>
      </w:r>
      <w:r w:rsidR="003474A9">
        <w:rPr>
          <w:rFonts w:ascii="Arial" w:hAnsi="Arial" w:cs="Arial"/>
          <w:b/>
          <w:bCs/>
        </w:rPr>
        <w:t>– Juvenile Recor</w:t>
      </w:r>
      <w:r w:rsidR="002862CD">
        <w:rPr>
          <w:rFonts w:ascii="Arial" w:hAnsi="Arial" w:cs="Arial"/>
          <w:b/>
          <w:bCs/>
        </w:rPr>
        <w:t>d</w:t>
      </w:r>
      <w:r w:rsidR="003474A9">
        <w:rPr>
          <w:rFonts w:ascii="Arial" w:hAnsi="Arial" w:cs="Arial"/>
          <w:b/>
          <w:bCs/>
        </w:rPr>
        <w:t>s</w:t>
      </w:r>
    </w:p>
    <w:p w:rsidR="00AB7ECA" w:rsidRDefault="00564603" w:rsidP="00AB7ECA">
      <w:pPr>
        <w:rPr>
          <w:rFonts w:ascii="Arial" w:hAnsi="Arial" w:cs="Arial"/>
        </w:rPr>
      </w:pPr>
      <w:r>
        <w:rPr>
          <w:rFonts w:ascii="Arial" w:hAnsi="Arial" w:cs="Arial"/>
        </w:rPr>
        <w:t>SF 434 e</w:t>
      </w:r>
      <w:r w:rsidR="00AB7ECA" w:rsidRPr="00AB7ECA">
        <w:rPr>
          <w:rFonts w:ascii="Arial" w:hAnsi="Arial" w:cs="Arial"/>
        </w:rPr>
        <w:t>stablishes alternative grounds for sealin</w:t>
      </w:r>
      <w:r>
        <w:rPr>
          <w:rFonts w:ascii="Arial" w:hAnsi="Arial" w:cs="Arial"/>
        </w:rPr>
        <w:t xml:space="preserve">g </w:t>
      </w:r>
      <w:proofErr w:type="gramStart"/>
      <w:r>
        <w:rPr>
          <w:rFonts w:ascii="Arial" w:hAnsi="Arial" w:cs="Arial"/>
        </w:rPr>
        <w:t>a</w:t>
      </w:r>
      <w:r w:rsidR="00AB7ECA" w:rsidRPr="00AB7ECA">
        <w:rPr>
          <w:rFonts w:ascii="Arial" w:hAnsi="Arial" w:cs="Arial"/>
        </w:rPr>
        <w:t xml:space="preserve"> juvenile</w:t>
      </w:r>
      <w:proofErr w:type="gramEnd"/>
      <w:r w:rsidR="00AB7ECA" w:rsidRPr="00AB7ECA">
        <w:rPr>
          <w:rFonts w:ascii="Arial" w:hAnsi="Arial" w:cs="Arial"/>
        </w:rPr>
        <w:t xml:space="preserve"> delinquency</w:t>
      </w:r>
      <w:r>
        <w:rPr>
          <w:rFonts w:ascii="Arial" w:hAnsi="Arial" w:cs="Arial"/>
        </w:rPr>
        <w:t xml:space="preserve"> adjudication</w:t>
      </w:r>
      <w:r w:rsidR="00AB7ECA" w:rsidRPr="00AB7ECA">
        <w:rPr>
          <w:rFonts w:ascii="Arial" w:hAnsi="Arial" w:cs="Arial"/>
        </w:rPr>
        <w:t xml:space="preserve"> if the juvenile who was adjudicated for an offense that would be a felony or an aggravated or serious misdemeanor completes military service with an honorable discharge. </w:t>
      </w:r>
    </w:p>
    <w:p w:rsidR="00564603" w:rsidRPr="00AB7ECA" w:rsidRDefault="00564603" w:rsidP="00AB7ECA">
      <w:pPr>
        <w:rPr>
          <w:rFonts w:ascii="Arial" w:hAnsi="Arial" w:cs="Arial"/>
        </w:rPr>
      </w:pPr>
    </w:p>
    <w:p w:rsidR="00AB7ECA" w:rsidRDefault="00AB7ECA" w:rsidP="00AB7ECA">
      <w:pPr>
        <w:rPr>
          <w:rFonts w:ascii="Arial" w:hAnsi="Arial" w:cs="Arial"/>
          <w:bCs/>
        </w:rPr>
      </w:pPr>
      <w:r w:rsidRPr="00AB7ECA">
        <w:rPr>
          <w:rFonts w:ascii="Arial" w:hAnsi="Arial" w:cs="Arial"/>
        </w:rPr>
        <w:t xml:space="preserve">The </w:t>
      </w:r>
      <w:r w:rsidR="00564603">
        <w:rPr>
          <w:rFonts w:ascii="Arial" w:hAnsi="Arial" w:cs="Arial"/>
          <w:bCs/>
        </w:rPr>
        <w:t>Senate approved SF 434 by a vote of 28-21; it now goes to the House for consideration.</w:t>
      </w:r>
    </w:p>
    <w:p w:rsidR="00564603" w:rsidRPr="00564603" w:rsidRDefault="00564603" w:rsidP="00AB7ECA">
      <w:pPr>
        <w:rPr>
          <w:rFonts w:ascii="Arial" w:hAnsi="Arial" w:cs="Arial"/>
        </w:rPr>
      </w:pPr>
    </w:p>
    <w:p w:rsidR="00AB7ECA" w:rsidRPr="00AB7ECA" w:rsidRDefault="002B01DE" w:rsidP="00AB7ECA">
      <w:pPr>
        <w:rPr>
          <w:rFonts w:ascii="Arial" w:hAnsi="Arial" w:cs="Arial"/>
        </w:rPr>
      </w:pPr>
      <w:hyperlink r:id="rId15" w:history="1">
        <w:r w:rsidR="008A4FEE" w:rsidRPr="008A4FEE">
          <w:rPr>
            <w:rStyle w:val="Hyperlink"/>
            <w:rFonts w:ascii="Arial" w:hAnsi="Arial" w:cs="Arial"/>
            <w:b/>
            <w:bCs/>
          </w:rPr>
          <w:t>SF448</w:t>
        </w:r>
      </w:hyperlink>
      <w:r w:rsidR="003474A9">
        <w:rPr>
          <w:rFonts w:ascii="Arial" w:hAnsi="Arial" w:cs="Arial"/>
          <w:b/>
          <w:bCs/>
        </w:rPr>
        <w:t>– Salvage Insurance Titles</w:t>
      </w:r>
      <w:r w:rsidR="00AB7ECA" w:rsidRPr="00AB7ECA">
        <w:rPr>
          <w:rFonts w:ascii="Arial" w:hAnsi="Arial" w:cs="Arial"/>
          <w:b/>
          <w:bCs/>
        </w:rPr>
        <w:t xml:space="preserve"> </w:t>
      </w:r>
    </w:p>
    <w:p w:rsidR="00AB7ECA" w:rsidRDefault="00CE4B7F" w:rsidP="00AB7ECA">
      <w:pPr>
        <w:rPr>
          <w:rFonts w:ascii="Arial" w:hAnsi="Arial" w:cs="Arial"/>
        </w:rPr>
      </w:pPr>
      <w:r>
        <w:rPr>
          <w:rFonts w:ascii="Arial" w:hAnsi="Arial" w:cs="Arial"/>
        </w:rPr>
        <w:t>SF 448 a</w:t>
      </w:r>
      <w:r w:rsidR="00AB7ECA" w:rsidRPr="00AB7ECA">
        <w:rPr>
          <w:rFonts w:ascii="Arial" w:hAnsi="Arial" w:cs="Arial"/>
        </w:rPr>
        <w:t xml:space="preserve">llows an insurer to be issued a salvage certificate of title without giving up the original title if the insurer has an agreement to take possession of the vehicle and 30 days have passed since the effective date of the agreement. </w:t>
      </w:r>
      <w:r>
        <w:rPr>
          <w:rFonts w:ascii="Arial" w:hAnsi="Arial" w:cs="Arial"/>
        </w:rPr>
        <w:t xml:space="preserve"> Further, the insurer must attempt to contact</w:t>
      </w:r>
      <w:r w:rsidR="00AB7ECA" w:rsidRPr="00AB7ECA">
        <w:rPr>
          <w:rFonts w:ascii="Arial" w:hAnsi="Arial" w:cs="Arial"/>
        </w:rPr>
        <w:t xml:space="preserve"> the previous owner or l</w:t>
      </w:r>
      <w:r>
        <w:rPr>
          <w:rFonts w:ascii="Arial" w:hAnsi="Arial" w:cs="Arial"/>
        </w:rPr>
        <w:t>ienholder by certified mail.</w:t>
      </w:r>
    </w:p>
    <w:p w:rsidR="00CE4B7F" w:rsidRPr="00AB7ECA" w:rsidRDefault="00CE4B7F" w:rsidP="00AB7ECA">
      <w:pPr>
        <w:rPr>
          <w:rFonts w:ascii="Arial" w:hAnsi="Arial" w:cs="Arial"/>
        </w:rPr>
      </w:pPr>
    </w:p>
    <w:p w:rsidR="00AB7ECA" w:rsidRPr="00AB7ECA" w:rsidRDefault="00CE4B7F" w:rsidP="00AB7ECA">
      <w:pPr>
        <w:rPr>
          <w:rFonts w:ascii="Arial" w:hAnsi="Arial" w:cs="Arial"/>
        </w:rPr>
      </w:pPr>
      <w:r>
        <w:rPr>
          <w:rFonts w:ascii="Arial" w:hAnsi="Arial" w:cs="Arial"/>
        </w:rPr>
        <w:t>The Senate approved SF 448 by a vote of 49-0; it now moves to the House for consideration.</w:t>
      </w:r>
    </w:p>
    <w:p w:rsidR="00AB7ECA" w:rsidRDefault="00AB7ECA" w:rsidP="00A401F4">
      <w:pPr>
        <w:rPr>
          <w:rFonts w:ascii="Arial" w:hAnsi="Arial" w:cs="Arial"/>
        </w:rPr>
      </w:pPr>
    </w:p>
    <w:p w:rsidR="00AB7ECA" w:rsidRPr="00AB7ECA" w:rsidRDefault="002B01DE" w:rsidP="00AB7ECA">
      <w:pPr>
        <w:rPr>
          <w:rFonts w:ascii="Arial" w:hAnsi="Arial" w:cs="Arial"/>
        </w:rPr>
      </w:pPr>
      <w:hyperlink r:id="rId16" w:history="1">
        <w:r w:rsidR="008A4FEE" w:rsidRPr="008A4FEE">
          <w:rPr>
            <w:rStyle w:val="Hyperlink"/>
            <w:rFonts w:ascii="Arial" w:hAnsi="Arial" w:cs="Arial"/>
            <w:b/>
            <w:bCs/>
          </w:rPr>
          <w:t>SF220</w:t>
        </w:r>
      </w:hyperlink>
      <w:r w:rsidR="008A4FEE">
        <w:rPr>
          <w:rFonts w:ascii="Arial" w:hAnsi="Arial" w:cs="Arial"/>
          <w:b/>
          <w:bCs/>
        </w:rPr>
        <w:t xml:space="preserve"> </w:t>
      </w:r>
      <w:r w:rsidR="003474A9">
        <w:rPr>
          <w:rFonts w:ascii="Arial" w:hAnsi="Arial" w:cs="Arial"/>
          <w:b/>
          <w:bCs/>
        </w:rPr>
        <w:t>– Traffic Cameras</w:t>
      </w:r>
      <w:r w:rsidR="00AB7ECA" w:rsidRPr="00AB7ECA">
        <w:rPr>
          <w:rFonts w:ascii="Arial" w:hAnsi="Arial" w:cs="Arial"/>
          <w:b/>
          <w:bCs/>
        </w:rPr>
        <w:t xml:space="preserve"> </w:t>
      </w:r>
    </w:p>
    <w:p w:rsidR="00AB7ECA" w:rsidRPr="00AB7ECA" w:rsidRDefault="003474A9" w:rsidP="00AB7ECA">
      <w:pPr>
        <w:rPr>
          <w:rFonts w:ascii="Arial" w:hAnsi="Arial" w:cs="Arial"/>
        </w:rPr>
      </w:pPr>
      <w:r>
        <w:rPr>
          <w:rFonts w:ascii="Arial" w:hAnsi="Arial" w:cs="Arial"/>
        </w:rPr>
        <w:t>SF 220 p</w:t>
      </w:r>
      <w:r w:rsidR="00AB7ECA" w:rsidRPr="00AB7ECA">
        <w:rPr>
          <w:rFonts w:ascii="Arial" w:hAnsi="Arial" w:cs="Arial"/>
        </w:rPr>
        <w:t xml:space="preserve">rohibits local governments from placing automated traffic law enforcement devices without self-certifying the need for such devices. </w:t>
      </w:r>
      <w:r>
        <w:rPr>
          <w:rFonts w:ascii="Arial" w:hAnsi="Arial" w:cs="Arial"/>
        </w:rPr>
        <w:t>DOT would be prohibited from using such devices.  Further, the bill r</w:t>
      </w:r>
      <w:r w:rsidR="00AB7ECA" w:rsidRPr="00AB7ECA">
        <w:rPr>
          <w:rFonts w:ascii="Arial" w:hAnsi="Arial" w:cs="Arial"/>
        </w:rPr>
        <w:t>equires</w:t>
      </w:r>
      <w:r>
        <w:rPr>
          <w:rFonts w:ascii="Arial" w:hAnsi="Arial" w:cs="Arial"/>
        </w:rPr>
        <w:t xml:space="preserve"> the placement be done pursuant to DOT rules, and includes</w:t>
      </w:r>
      <w:r w:rsidR="00AB7ECA" w:rsidRPr="00AB7ECA">
        <w:rPr>
          <w:rFonts w:ascii="Arial" w:hAnsi="Arial" w:cs="Arial"/>
        </w:rPr>
        <w:t xml:space="preserve"> high-risk or high-crash area</w:t>
      </w:r>
      <w:r>
        <w:rPr>
          <w:rFonts w:ascii="Arial" w:hAnsi="Arial" w:cs="Arial"/>
        </w:rPr>
        <w:t>s</w:t>
      </w:r>
      <w:r w:rsidR="00AB7ECA" w:rsidRPr="00AB7ECA">
        <w:rPr>
          <w:rFonts w:ascii="Arial" w:hAnsi="Arial" w:cs="Arial"/>
        </w:rPr>
        <w:t xml:space="preserve">. </w:t>
      </w:r>
      <w:r>
        <w:rPr>
          <w:rFonts w:ascii="Arial" w:hAnsi="Arial" w:cs="Arial"/>
        </w:rPr>
        <w:t>SF 220 also permits</w:t>
      </w:r>
      <w:r w:rsidR="00AB7ECA" w:rsidRPr="00AB7ECA">
        <w:rPr>
          <w:rFonts w:ascii="Arial" w:hAnsi="Arial" w:cs="Arial"/>
        </w:rPr>
        <w:t xml:space="preserve"> residents to petition for a vote on the operation of traffic cameras. </w:t>
      </w:r>
      <w:r>
        <w:rPr>
          <w:rFonts w:ascii="Arial" w:hAnsi="Arial" w:cs="Arial"/>
        </w:rPr>
        <w:t>The bill limits fines and requires</w:t>
      </w:r>
      <w:r w:rsidR="00AB7ECA" w:rsidRPr="00AB7ECA">
        <w:rPr>
          <w:rFonts w:ascii="Arial" w:hAnsi="Arial" w:cs="Arial"/>
        </w:rPr>
        <w:t xml:space="preserve"> the funds collected, less the costs, be used for secondary road maintenance or street construction. </w:t>
      </w:r>
    </w:p>
    <w:p w:rsidR="003474A9" w:rsidRDefault="003474A9" w:rsidP="00AB7ECA">
      <w:pPr>
        <w:rPr>
          <w:rFonts w:ascii="Arial" w:hAnsi="Arial" w:cs="Arial"/>
        </w:rPr>
      </w:pPr>
    </w:p>
    <w:p w:rsidR="00AB7ECA" w:rsidRDefault="003474A9" w:rsidP="00AB7ECA">
      <w:pPr>
        <w:rPr>
          <w:rFonts w:ascii="Arial" w:hAnsi="Arial" w:cs="Arial"/>
          <w:b/>
          <w:bCs/>
        </w:rPr>
      </w:pPr>
      <w:r>
        <w:rPr>
          <w:rFonts w:ascii="Arial" w:hAnsi="Arial" w:cs="Arial"/>
        </w:rPr>
        <w:lastRenderedPageBreak/>
        <w:t>The Senate approved SF 220 by a vote of 31-18; it now moves to the House for consideration.</w:t>
      </w:r>
    </w:p>
    <w:p w:rsidR="003474A9" w:rsidRPr="00AB7ECA" w:rsidRDefault="003474A9" w:rsidP="00AB7ECA">
      <w:pPr>
        <w:rPr>
          <w:rFonts w:ascii="Arial" w:hAnsi="Arial" w:cs="Arial"/>
        </w:rPr>
      </w:pPr>
    </w:p>
    <w:p w:rsidR="00AB7ECA" w:rsidRPr="00AB7ECA" w:rsidRDefault="002B01DE" w:rsidP="00AB7ECA">
      <w:pPr>
        <w:rPr>
          <w:rFonts w:ascii="Arial" w:hAnsi="Arial" w:cs="Arial"/>
        </w:rPr>
      </w:pPr>
      <w:hyperlink r:id="rId17" w:history="1">
        <w:r w:rsidR="008A4FEE" w:rsidRPr="008A4FEE">
          <w:rPr>
            <w:rStyle w:val="Hyperlink"/>
            <w:rFonts w:ascii="Arial" w:hAnsi="Arial" w:cs="Arial"/>
            <w:b/>
            <w:bCs/>
          </w:rPr>
          <w:t>SF234</w:t>
        </w:r>
      </w:hyperlink>
      <w:r w:rsidR="008A4FEE">
        <w:rPr>
          <w:rFonts w:ascii="Arial" w:hAnsi="Arial" w:cs="Arial"/>
          <w:b/>
          <w:bCs/>
        </w:rPr>
        <w:t xml:space="preserve"> </w:t>
      </w:r>
      <w:r w:rsidR="008B5B82">
        <w:rPr>
          <w:rFonts w:ascii="Arial" w:hAnsi="Arial" w:cs="Arial"/>
          <w:b/>
          <w:bCs/>
        </w:rPr>
        <w:t>– Electronic Communications while Driving</w:t>
      </w:r>
    </w:p>
    <w:p w:rsidR="008B5B82" w:rsidRDefault="008B5B82" w:rsidP="008B5B82">
      <w:pPr>
        <w:rPr>
          <w:rFonts w:ascii="Arial" w:hAnsi="Arial" w:cs="Arial"/>
        </w:rPr>
      </w:pPr>
      <w:r>
        <w:rPr>
          <w:rFonts w:ascii="Arial" w:hAnsi="Arial" w:cs="Arial"/>
        </w:rPr>
        <w:t xml:space="preserve">SF 234 prohibits </w:t>
      </w:r>
      <w:r w:rsidR="00AB7ECA" w:rsidRPr="00AB7ECA">
        <w:rPr>
          <w:rFonts w:ascii="Arial" w:hAnsi="Arial" w:cs="Arial"/>
        </w:rPr>
        <w:t>texting</w:t>
      </w:r>
      <w:r>
        <w:rPr>
          <w:rFonts w:ascii="Arial" w:hAnsi="Arial" w:cs="Arial"/>
        </w:rPr>
        <w:t>, viewing, sending, or reading electronic communications while driving and makes such violations a primary offense</w:t>
      </w:r>
    </w:p>
    <w:p w:rsidR="00AB7ECA" w:rsidRPr="00AB7ECA" w:rsidRDefault="00AB7ECA" w:rsidP="008B5B82">
      <w:pPr>
        <w:rPr>
          <w:rFonts w:ascii="Arial" w:hAnsi="Arial" w:cs="Arial"/>
        </w:rPr>
      </w:pPr>
      <w:r w:rsidRPr="00AB7ECA">
        <w:rPr>
          <w:rFonts w:ascii="Arial" w:hAnsi="Arial" w:cs="Arial"/>
          <w:b/>
          <w:bCs/>
        </w:rPr>
        <w:t xml:space="preserve"> </w:t>
      </w:r>
    </w:p>
    <w:p w:rsidR="00AB7ECA" w:rsidRPr="00AB7ECA" w:rsidRDefault="008B5B82" w:rsidP="00AB7ECA">
      <w:pPr>
        <w:rPr>
          <w:rFonts w:ascii="Arial" w:hAnsi="Arial" w:cs="Arial"/>
        </w:rPr>
      </w:pPr>
      <w:r>
        <w:rPr>
          <w:rFonts w:ascii="Arial" w:hAnsi="Arial" w:cs="Arial"/>
        </w:rPr>
        <w:t>The Senate approved SF 234 by a vote of 43-6; it now moves to the House for consideration.</w:t>
      </w:r>
    </w:p>
    <w:p w:rsidR="00AB7ECA" w:rsidRDefault="00AB7ECA" w:rsidP="00A401F4">
      <w:pPr>
        <w:rPr>
          <w:rFonts w:ascii="Arial" w:hAnsi="Arial" w:cs="Arial"/>
        </w:rPr>
      </w:pPr>
    </w:p>
    <w:p w:rsidR="00AB7ECA" w:rsidRDefault="00AB7ECA" w:rsidP="00A401F4">
      <w:pPr>
        <w:rPr>
          <w:rFonts w:ascii="Arial" w:hAnsi="Arial" w:cs="Arial"/>
        </w:rPr>
      </w:pPr>
    </w:p>
    <w:p w:rsidR="00AB7ECA" w:rsidRDefault="00AB7ECA" w:rsidP="00A401F4">
      <w:pPr>
        <w:rPr>
          <w:rFonts w:ascii="Arial" w:hAnsi="Arial" w:cs="Arial"/>
        </w:rPr>
      </w:pPr>
    </w:p>
    <w:p w:rsidR="00AB7ECA" w:rsidRDefault="00AB7ECA" w:rsidP="00A401F4">
      <w:pPr>
        <w:rPr>
          <w:rFonts w:ascii="Arial" w:hAnsi="Arial" w:cs="Arial"/>
        </w:rPr>
      </w:pPr>
    </w:p>
    <w:sectPr w:rsidR="00AB7ECA" w:rsidSect="00BF2C77">
      <w:type w:val="continuous"/>
      <w:pgSz w:w="12240" w:h="15840"/>
      <w:pgMar w:top="720" w:right="1296" w:bottom="1296" w:left="1296"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1DE" w:rsidRDefault="002B01DE" w:rsidP="00CE421E">
      <w:r>
        <w:separator/>
      </w:r>
    </w:p>
  </w:endnote>
  <w:endnote w:type="continuationSeparator" w:id="0">
    <w:p w:rsidR="002B01DE" w:rsidRDefault="002B01DE" w:rsidP="00C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F9" w:rsidRDefault="00332FF9" w:rsidP="00446B38">
    <w:pPr>
      <w:pStyle w:val="Footer"/>
      <w:jc w:val="center"/>
      <w:rPr>
        <w:sz w:val="16"/>
      </w:rPr>
    </w:pPr>
    <w:r>
      <w:rPr>
        <w:sz w:val="16"/>
      </w:rPr>
      <w:t>Prepared by:</w:t>
    </w:r>
  </w:p>
  <w:p w:rsidR="00332FF9" w:rsidRDefault="00332FF9" w:rsidP="00446B38">
    <w:pPr>
      <w:pStyle w:val="Footer"/>
      <w:jc w:val="center"/>
      <w:rPr>
        <w:sz w:val="16"/>
      </w:rPr>
    </w:pPr>
  </w:p>
  <w:p w:rsidR="00332FF9" w:rsidRDefault="00332FF9" w:rsidP="00446B38">
    <w:pPr>
      <w:pStyle w:val="Footer"/>
      <w:jc w:val="center"/>
      <w:rPr>
        <w:sz w:val="16"/>
      </w:rPr>
    </w:pPr>
    <w:r>
      <w:rPr>
        <w:sz w:val="16"/>
      </w:rPr>
      <w:t>SKINNER &amp; PASCHKE, PLLC</w:t>
    </w:r>
  </w:p>
  <w:p w:rsidR="00332FF9" w:rsidRDefault="00332FF9" w:rsidP="00446B38">
    <w:pPr>
      <w:pStyle w:val="Footer"/>
      <w:jc w:val="center"/>
      <w:rPr>
        <w:sz w:val="16"/>
      </w:rPr>
    </w:pPr>
    <w:r>
      <w:rPr>
        <w:sz w:val="16"/>
      </w:rPr>
      <w:t xml:space="preserve">204 W. Hickman </w:t>
    </w:r>
    <w:proofErr w:type="gramStart"/>
    <w:r>
      <w:rPr>
        <w:sz w:val="16"/>
      </w:rPr>
      <w:t>Road  *</w:t>
    </w:r>
    <w:proofErr w:type="gramEnd"/>
    <w:r>
      <w:rPr>
        <w:sz w:val="16"/>
      </w:rPr>
      <w:t xml:space="preserve">  </w:t>
    </w:r>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lace">
        <w:r>
          <w:rPr>
            <w:sz w:val="16"/>
          </w:rPr>
          <w:t>Iowa</w:t>
        </w:r>
      </w:smartTag>
      <w:r>
        <w:rPr>
          <w:sz w:val="16"/>
        </w:rPr>
        <w:t xml:space="preserve"> </w:t>
      </w:r>
      <w:smartTag w:uri="urn:schemas-microsoft-com:office:smarttags" w:element="place">
        <w:r>
          <w:rPr>
            <w:sz w:val="16"/>
          </w:rPr>
          <w:t>50263</w:t>
        </w:r>
      </w:smartTag>
    </w:smartTag>
  </w:p>
  <w:p w:rsidR="00332FF9" w:rsidRDefault="00332FF9" w:rsidP="00446B38">
    <w:pPr>
      <w:pStyle w:val="Footer"/>
      <w:jc w:val="center"/>
      <w:rPr>
        <w:sz w:val="16"/>
      </w:rPr>
    </w:pPr>
    <w:r>
      <w:rPr>
        <w:sz w:val="16"/>
      </w:rPr>
      <w:t>Tel.  (515) 987-</w:t>
    </w:r>
    <w:proofErr w:type="gramStart"/>
    <w:r>
      <w:rPr>
        <w:sz w:val="16"/>
      </w:rPr>
      <w:t>0022  Fax</w:t>
    </w:r>
    <w:proofErr w:type="gramEnd"/>
    <w:r>
      <w:rPr>
        <w:sz w:val="16"/>
      </w:rPr>
      <w:t>. (515) 987-6972</w:t>
    </w:r>
  </w:p>
  <w:p w:rsidR="00332FF9" w:rsidRDefault="0033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1DE" w:rsidRDefault="002B01DE" w:rsidP="00CE421E">
      <w:r>
        <w:separator/>
      </w:r>
    </w:p>
  </w:footnote>
  <w:footnote w:type="continuationSeparator" w:id="0">
    <w:p w:rsidR="002B01DE" w:rsidRDefault="002B01DE" w:rsidP="00CE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4D588E"/>
    <w:multiLevelType w:val="hybridMultilevel"/>
    <w:tmpl w:val="354ADB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F4"/>
    <w:rsid w:val="0004692B"/>
    <w:rsid w:val="000473A4"/>
    <w:rsid w:val="00062C42"/>
    <w:rsid w:val="00087C6A"/>
    <w:rsid w:val="000D4EE3"/>
    <w:rsid w:val="00127DDA"/>
    <w:rsid w:val="00145256"/>
    <w:rsid w:val="001B5C7E"/>
    <w:rsid w:val="001C4411"/>
    <w:rsid w:val="00261E6B"/>
    <w:rsid w:val="002862CD"/>
    <w:rsid w:val="00287ED7"/>
    <w:rsid w:val="002B01DE"/>
    <w:rsid w:val="00332FF9"/>
    <w:rsid w:val="003368F0"/>
    <w:rsid w:val="003474A9"/>
    <w:rsid w:val="00363C49"/>
    <w:rsid w:val="003A77FF"/>
    <w:rsid w:val="003C53A3"/>
    <w:rsid w:val="00403059"/>
    <w:rsid w:val="004155CF"/>
    <w:rsid w:val="00446B38"/>
    <w:rsid w:val="004538DD"/>
    <w:rsid w:val="00467494"/>
    <w:rsid w:val="004F665C"/>
    <w:rsid w:val="00513FFF"/>
    <w:rsid w:val="0053270D"/>
    <w:rsid w:val="00564603"/>
    <w:rsid w:val="005A1F97"/>
    <w:rsid w:val="005A544C"/>
    <w:rsid w:val="006038B1"/>
    <w:rsid w:val="006062B9"/>
    <w:rsid w:val="00612ED3"/>
    <w:rsid w:val="00634C9D"/>
    <w:rsid w:val="00644142"/>
    <w:rsid w:val="00647EBF"/>
    <w:rsid w:val="00662EE8"/>
    <w:rsid w:val="007264DE"/>
    <w:rsid w:val="007407AC"/>
    <w:rsid w:val="00746DE8"/>
    <w:rsid w:val="00754A87"/>
    <w:rsid w:val="0078453B"/>
    <w:rsid w:val="00791F9A"/>
    <w:rsid w:val="00796D6A"/>
    <w:rsid w:val="007B321C"/>
    <w:rsid w:val="007E318A"/>
    <w:rsid w:val="007F06D9"/>
    <w:rsid w:val="008150D5"/>
    <w:rsid w:val="0082247C"/>
    <w:rsid w:val="008334A5"/>
    <w:rsid w:val="008748B9"/>
    <w:rsid w:val="008A4FEE"/>
    <w:rsid w:val="008A797B"/>
    <w:rsid w:val="008B05F8"/>
    <w:rsid w:val="008B5B82"/>
    <w:rsid w:val="008B6718"/>
    <w:rsid w:val="008F2EFF"/>
    <w:rsid w:val="00901B53"/>
    <w:rsid w:val="00915196"/>
    <w:rsid w:val="009325AA"/>
    <w:rsid w:val="009802EB"/>
    <w:rsid w:val="00A1603E"/>
    <w:rsid w:val="00A401F4"/>
    <w:rsid w:val="00A93126"/>
    <w:rsid w:val="00AB7ECA"/>
    <w:rsid w:val="00AD39CF"/>
    <w:rsid w:val="00AE2F32"/>
    <w:rsid w:val="00B0077A"/>
    <w:rsid w:val="00B32706"/>
    <w:rsid w:val="00B90A7B"/>
    <w:rsid w:val="00BD66E3"/>
    <w:rsid w:val="00BF2C77"/>
    <w:rsid w:val="00C76E6A"/>
    <w:rsid w:val="00CA120C"/>
    <w:rsid w:val="00CB301B"/>
    <w:rsid w:val="00CB3D52"/>
    <w:rsid w:val="00CD10EA"/>
    <w:rsid w:val="00CE2ADA"/>
    <w:rsid w:val="00CE421E"/>
    <w:rsid w:val="00CE43CE"/>
    <w:rsid w:val="00CE4B7F"/>
    <w:rsid w:val="00CF39F5"/>
    <w:rsid w:val="00D12EDF"/>
    <w:rsid w:val="00D22EF8"/>
    <w:rsid w:val="00D60AFD"/>
    <w:rsid w:val="00E47464"/>
    <w:rsid w:val="00E821CF"/>
    <w:rsid w:val="00E963B3"/>
    <w:rsid w:val="00EC1BEF"/>
    <w:rsid w:val="00ED0A71"/>
    <w:rsid w:val="00EE21DD"/>
    <w:rsid w:val="00EF28F0"/>
    <w:rsid w:val="00F06005"/>
    <w:rsid w:val="00F42A45"/>
    <w:rsid w:val="00F4663E"/>
    <w:rsid w:val="00F64D10"/>
    <w:rsid w:val="00F766DD"/>
    <w:rsid w:val="00FC05A3"/>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table" w:styleId="TableGrid">
    <w:name w:val="Table Grid"/>
    <w:basedOn w:val="TableNormal"/>
    <w:locked/>
    <w:rsid w:val="0012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table" w:styleId="TableGrid">
    <w:name w:val="Table Grid"/>
    <w:basedOn w:val="TableNormal"/>
    <w:locked/>
    <w:rsid w:val="0012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576">
      <w:bodyDiv w:val="1"/>
      <w:marLeft w:val="0"/>
      <w:marRight w:val="0"/>
      <w:marTop w:val="0"/>
      <w:marBottom w:val="0"/>
      <w:divBdr>
        <w:top w:val="none" w:sz="0" w:space="0" w:color="auto"/>
        <w:left w:val="none" w:sz="0" w:space="0" w:color="auto"/>
        <w:bottom w:val="none" w:sz="0" w:space="0" w:color="auto"/>
        <w:right w:val="none" w:sz="0" w:space="0" w:color="auto"/>
      </w:divBdr>
    </w:div>
    <w:div w:id="331689337">
      <w:marLeft w:val="0"/>
      <w:marRight w:val="0"/>
      <w:marTop w:val="0"/>
      <w:marBottom w:val="0"/>
      <w:divBdr>
        <w:top w:val="none" w:sz="0" w:space="0" w:color="auto"/>
        <w:left w:val="none" w:sz="0" w:space="0" w:color="auto"/>
        <w:bottom w:val="none" w:sz="0" w:space="0" w:color="auto"/>
        <w:right w:val="none" w:sz="0" w:space="0" w:color="auto"/>
      </w:divBdr>
    </w:div>
    <w:div w:id="331689338">
      <w:marLeft w:val="0"/>
      <w:marRight w:val="0"/>
      <w:marTop w:val="0"/>
      <w:marBottom w:val="0"/>
      <w:divBdr>
        <w:top w:val="none" w:sz="0" w:space="0" w:color="auto"/>
        <w:left w:val="none" w:sz="0" w:space="0" w:color="auto"/>
        <w:bottom w:val="none" w:sz="0" w:space="0" w:color="auto"/>
        <w:right w:val="none" w:sz="0" w:space="0" w:color="auto"/>
      </w:divBdr>
    </w:div>
    <w:div w:id="331689339">
      <w:marLeft w:val="0"/>
      <w:marRight w:val="0"/>
      <w:marTop w:val="0"/>
      <w:marBottom w:val="0"/>
      <w:divBdr>
        <w:top w:val="none" w:sz="0" w:space="0" w:color="auto"/>
        <w:left w:val="none" w:sz="0" w:space="0" w:color="auto"/>
        <w:bottom w:val="none" w:sz="0" w:space="0" w:color="auto"/>
        <w:right w:val="none" w:sz="0" w:space="0" w:color="auto"/>
      </w:divBdr>
    </w:div>
    <w:div w:id="331689340">
      <w:marLeft w:val="0"/>
      <w:marRight w:val="0"/>
      <w:marTop w:val="0"/>
      <w:marBottom w:val="0"/>
      <w:divBdr>
        <w:top w:val="none" w:sz="0" w:space="0" w:color="auto"/>
        <w:left w:val="none" w:sz="0" w:space="0" w:color="auto"/>
        <w:bottom w:val="none" w:sz="0" w:space="0" w:color="auto"/>
        <w:right w:val="none" w:sz="0" w:space="0" w:color="auto"/>
      </w:divBdr>
    </w:div>
    <w:div w:id="331689341">
      <w:marLeft w:val="0"/>
      <w:marRight w:val="0"/>
      <w:marTop w:val="0"/>
      <w:marBottom w:val="0"/>
      <w:divBdr>
        <w:top w:val="none" w:sz="0" w:space="0" w:color="auto"/>
        <w:left w:val="none" w:sz="0" w:space="0" w:color="auto"/>
        <w:bottom w:val="none" w:sz="0" w:space="0" w:color="auto"/>
        <w:right w:val="none" w:sz="0" w:space="0" w:color="auto"/>
      </w:divBdr>
    </w:div>
    <w:div w:id="331689342">
      <w:marLeft w:val="0"/>
      <w:marRight w:val="0"/>
      <w:marTop w:val="0"/>
      <w:marBottom w:val="0"/>
      <w:divBdr>
        <w:top w:val="none" w:sz="0" w:space="0" w:color="auto"/>
        <w:left w:val="none" w:sz="0" w:space="0" w:color="auto"/>
        <w:bottom w:val="none" w:sz="0" w:space="0" w:color="auto"/>
        <w:right w:val="none" w:sz="0" w:space="0" w:color="auto"/>
      </w:divBdr>
    </w:div>
    <w:div w:id="8132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iowa.gov/legislation/BillBook?ba=HF%20579&amp;ga=8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egis.iowa.gov/legislation/BillBook?ba=SF%20445&amp;ga=87" TargetMode="External"/><Relationship Id="rId17" Type="http://schemas.openxmlformats.org/officeDocument/2006/relationships/hyperlink" Target="https://www.legis.iowa.gov/legislation/BillBook?ba=SF%20234&amp;ga=87" TargetMode="External"/><Relationship Id="rId2" Type="http://schemas.openxmlformats.org/officeDocument/2006/relationships/styles" Target="styles.xml"/><Relationship Id="rId16" Type="http://schemas.openxmlformats.org/officeDocument/2006/relationships/hyperlink" Target="https://www.legis.iowa.gov/legislation/BillBook?ba=SF%20220&amp;ga=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iowa.gov/legislation/BillBook?ba=HJR%201&amp;ga=87" TargetMode="External"/><Relationship Id="rId5" Type="http://schemas.openxmlformats.org/officeDocument/2006/relationships/webSettings" Target="webSettings.xml"/><Relationship Id="rId15" Type="http://schemas.openxmlformats.org/officeDocument/2006/relationships/hyperlink" Target="https://www.legis.iowa.gov/legislation/BillBook?ba=SF%20448&amp;ga=87" TargetMode="External"/><Relationship Id="rId10" Type="http://schemas.openxmlformats.org/officeDocument/2006/relationships/hyperlink" Target="https://www.legis.iowa.gov/legislation/BillBook?ba=HF%20581&amp;ga=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legis.iowa.gov/legislation/BillBook?ba=SF%20434&amp;ga=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Paschke</dc:creator>
  <cp:lastModifiedBy>Owner</cp:lastModifiedBy>
  <cp:revision>11</cp:revision>
  <dcterms:created xsi:type="dcterms:W3CDTF">2017-03-28T00:43:00Z</dcterms:created>
  <dcterms:modified xsi:type="dcterms:W3CDTF">2017-03-28T02:47:00Z</dcterms:modified>
</cp:coreProperties>
</file>